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1AEA" w14:textId="2F3B551C" w:rsidR="004C16E0" w:rsidRDefault="00C459A0" w:rsidP="004C16E0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Garamond" w:hAnsi="Garamond" w:cs="CentaurMTStd"/>
          <w:noProof/>
          <w:color w:val="000000"/>
          <w:sz w:val="28"/>
          <w:szCs w:val="26"/>
          <w:lang w:eastAsia="zh-CN"/>
        </w:rPr>
      </w:pPr>
      <w:r>
        <w:rPr>
          <w:rFonts w:ascii="Garamond" w:hAnsi="Garamond" w:cs="CentaurMTStd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1B093F9" wp14:editId="4793C8E7">
            <wp:simplePos x="0" y="0"/>
            <wp:positionH relativeFrom="page">
              <wp:posOffset>47625</wp:posOffset>
            </wp:positionH>
            <wp:positionV relativeFrom="page">
              <wp:posOffset>161925</wp:posOffset>
            </wp:positionV>
            <wp:extent cx="7785417" cy="10075246"/>
            <wp:effectExtent l="0" t="0" r="1270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50 Human Resources Lth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417" cy="10075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6E0">
        <w:rPr>
          <w:rFonts w:ascii="Garamond" w:hAnsi="Garamond" w:cs="CentaurMTStd"/>
          <w:noProof/>
          <w:color w:val="000000"/>
          <w:sz w:val="28"/>
          <w:szCs w:val="26"/>
          <w:lang w:eastAsia="zh-CN"/>
        </w:rPr>
        <w:t>0</w:t>
      </w:r>
      <w:r w:rsidR="003611F2">
        <w:rPr>
          <w:rFonts w:ascii="Garamond" w:hAnsi="Garamond" w:cs="CentaurMTStd"/>
          <w:noProof/>
          <w:color w:val="000000"/>
          <w:sz w:val="28"/>
          <w:szCs w:val="26"/>
          <w:lang w:eastAsia="zh-CN"/>
        </w:rPr>
        <w:t>4</w:t>
      </w:r>
      <w:r w:rsidR="00177A96">
        <w:rPr>
          <w:rFonts w:ascii="Garamond" w:hAnsi="Garamond" w:cs="CentaurMTStd"/>
          <w:noProof/>
          <w:color w:val="000000"/>
          <w:sz w:val="28"/>
          <w:szCs w:val="26"/>
          <w:lang w:eastAsia="zh-CN"/>
        </w:rPr>
        <w:t>14</w:t>
      </w:r>
      <w:r w:rsidR="004C16E0">
        <w:rPr>
          <w:rFonts w:ascii="Garamond" w:hAnsi="Garamond" w:cs="CentaurMTStd"/>
          <w:noProof/>
          <w:color w:val="000000"/>
          <w:sz w:val="28"/>
          <w:szCs w:val="26"/>
          <w:lang w:eastAsia="zh-CN"/>
        </w:rPr>
        <w:t>2022</w:t>
      </w:r>
      <w:r w:rsidR="004C16E0" w:rsidRPr="006427BC">
        <w:rPr>
          <w:rFonts w:ascii="Garamond" w:hAnsi="Garamond" w:cs="CentaurMTStd"/>
          <w:noProof/>
          <w:color w:val="000000"/>
          <w:sz w:val="28"/>
          <w:szCs w:val="26"/>
          <w:lang w:eastAsia="zh-CN"/>
        </w:rPr>
        <w:t xml:space="preserve"> Contact Tracing COVID-19 SITREP</w:t>
      </w:r>
    </w:p>
    <w:p w14:paraId="7AFD53DA" w14:textId="77777777" w:rsidR="004C16E0" w:rsidRDefault="004C16E0" w:rsidP="004C16E0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Garamond" w:hAnsi="Garamond" w:cs="CentaurMTStd"/>
          <w:noProof/>
          <w:color w:val="000000"/>
          <w:sz w:val="28"/>
          <w:szCs w:val="26"/>
          <w:lang w:eastAsia="zh-CN"/>
        </w:rPr>
      </w:pPr>
    </w:p>
    <w:p w14:paraId="6386D205" w14:textId="18F58964" w:rsidR="004C16E0" w:rsidRPr="006033AE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lang w:eastAsia="zh-CN"/>
        </w:rPr>
      </w:pPr>
      <w:r>
        <w:rPr>
          <w:rFonts w:ascii="Garamond" w:hAnsi="Garamond" w:cs="CentaurMTStd"/>
          <w:noProof/>
          <w:color w:val="000000"/>
          <w:lang w:eastAsia="zh-CN"/>
        </w:rPr>
        <w:t xml:space="preserve">The following </w:t>
      </w:r>
      <w:r w:rsidRPr="006033AE">
        <w:rPr>
          <w:rFonts w:ascii="Garamond" w:hAnsi="Garamond" w:cs="CentaurMTStd"/>
          <w:noProof/>
          <w:color w:val="000000"/>
          <w:lang w:eastAsia="zh-CN"/>
        </w:rPr>
        <w:t xml:space="preserve">information is current as </w:t>
      </w:r>
      <w:r w:rsidRPr="001022FE">
        <w:rPr>
          <w:rFonts w:ascii="Garamond" w:hAnsi="Garamond" w:cs="CentaurMTStd"/>
          <w:noProof/>
          <w:color w:val="000000"/>
          <w:lang w:eastAsia="zh-CN"/>
        </w:rPr>
        <w:t xml:space="preserve">of </w:t>
      </w:r>
      <w:r w:rsidRPr="00305247">
        <w:rPr>
          <w:rFonts w:ascii="Garamond" w:hAnsi="Garamond" w:cs="CentaurMTStd"/>
          <w:noProof/>
          <w:lang w:eastAsia="zh-CN"/>
        </w:rPr>
        <w:t>1</w:t>
      </w:r>
      <w:r w:rsidR="004B7E4C">
        <w:rPr>
          <w:rFonts w:ascii="Garamond" w:hAnsi="Garamond" w:cs="CentaurMTStd"/>
          <w:noProof/>
          <w:lang w:eastAsia="zh-CN"/>
        </w:rPr>
        <w:t>6</w:t>
      </w:r>
      <w:r>
        <w:rPr>
          <w:rFonts w:ascii="Garamond" w:hAnsi="Garamond" w:cs="CentaurMTStd"/>
          <w:noProof/>
          <w:lang w:eastAsia="zh-CN"/>
        </w:rPr>
        <w:t>0</w:t>
      </w:r>
      <w:r w:rsidRPr="00305247">
        <w:rPr>
          <w:rFonts w:ascii="Garamond" w:hAnsi="Garamond" w:cs="CentaurMTStd"/>
          <w:noProof/>
          <w:lang w:eastAsia="zh-CN"/>
        </w:rPr>
        <w:t>0</w:t>
      </w:r>
      <w:r w:rsidRPr="00383FB1">
        <w:rPr>
          <w:rFonts w:ascii="Garamond" w:hAnsi="Garamond" w:cs="CentaurMTStd"/>
          <w:noProof/>
          <w:lang w:eastAsia="zh-CN"/>
        </w:rPr>
        <w:t xml:space="preserve"> on</w:t>
      </w:r>
      <w:r w:rsidRPr="001022FE">
        <w:rPr>
          <w:rFonts w:ascii="Garamond" w:hAnsi="Garamond" w:cs="CentaurMTStd"/>
          <w:noProof/>
          <w:lang w:eastAsia="zh-CN"/>
        </w:rPr>
        <w:t xml:space="preserve"> 0</w:t>
      </w:r>
      <w:r w:rsidR="003611F2">
        <w:rPr>
          <w:rFonts w:ascii="Garamond" w:hAnsi="Garamond" w:cs="CentaurMTStd"/>
          <w:noProof/>
          <w:lang w:eastAsia="zh-CN"/>
        </w:rPr>
        <w:t>4</w:t>
      </w:r>
      <w:r w:rsidR="009C781E">
        <w:rPr>
          <w:rFonts w:ascii="Garamond" w:hAnsi="Garamond" w:cs="CentaurMTStd"/>
          <w:noProof/>
          <w:lang w:eastAsia="zh-CN"/>
        </w:rPr>
        <w:t>14</w:t>
      </w:r>
      <w:r w:rsidRPr="001022FE">
        <w:rPr>
          <w:rFonts w:ascii="Garamond" w:hAnsi="Garamond" w:cs="CentaurMTStd"/>
          <w:noProof/>
          <w:lang w:eastAsia="zh-CN"/>
        </w:rPr>
        <w:t>2022</w:t>
      </w:r>
      <w:r w:rsidRPr="001022FE">
        <w:rPr>
          <w:rFonts w:ascii="Garamond" w:hAnsi="Garamond" w:cs="CentaurMTStd"/>
          <w:noProof/>
          <w:color w:val="000000"/>
          <w:lang w:eastAsia="zh-CN"/>
        </w:rPr>
        <w:t>.</w:t>
      </w:r>
      <w:r>
        <w:rPr>
          <w:rFonts w:ascii="Garamond" w:hAnsi="Garamond" w:cs="CentaurMTStd"/>
          <w:noProof/>
          <w:color w:val="000000"/>
          <w:lang w:eastAsia="zh-CN"/>
        </w:rPr>
        <w:t xml:space="preserve">  </w:t>
      </w:r>
    </w:p>
    <w:p w14:paraId="46340586" w14:textId="77777777" w:rsidR="004C16E0" w:rsidRPr="006033AE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lang w:eastAsia="zh-CN"/>
        </w:rPr>
      </w:pPr>
    </w:p>
    <w:p w14:paraId="54C4BB3F" w14:textId="0670F506" w:rsidR="004C16E0" w:rsidRPr="00DC3D1A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lang w:eastAsia="zh-CN"/>
        </w:rPr>
      </w:pPr>
      <w:r w:rsidRPr="0037135C">
        <w:rPr>
          <w:rFonts w:ascii="Garamond" w:hAnsi="Garamond" w:cs="CentaurMTStd"/>
          <w:noProof/>
          <w:color w:val="000000"/>
          <w:lang w:eastAsia="zh-CN"/>
        </w:rPr>
        <w:t>In the</w:t>
      </w:r>
      <w:r w:rsidR="008C2FD3">
        <w:rPr>
          <w:rFonts w:ascii="Garamond" w:hAnsi="Garamond" w:cs="CentaurMTStd"/>
          <w:noProof/>
          <w:color w:val="000000"/>
          <w:lang w:eastAsia="zh-CN"/>
        </w:rPr>
        <w:t xml:space="preserve"> f</w:t>
      </w:r>
      <w:r w:rsidR="00177A96">
        <w:rPr>
          <w:rFonts w:ascii="Garamond" w:hAnsi="Garamond" w:cs="CentaurMTStd"/>
          <w:noProof/>
          <w:color w:val="000000"/>
          <w:lang w:eastAsia="zh-CN"/>
        </w:rPr>
        <w:t>our</w:t>
      </w:r>
      <w:r>
        <w:rPr>
          <w:rFonts w:ascii="Garamond" w:hAnsi="Garamond" w:cs="CentaurMTStd"/>
          <w:noProof/>
          <w:color w:val="000000"/>
          <w:lang w:eastAsia="zh-CN"/>
        </w:rPr>
        <w:t xml:space="preserve"> </w:t>
      </w:r>
      <w:r w:rsidRPr="0037135C">
        <w:rPr>
          <w:rFonts w:ascii="Garamond" w:hAnsi="Garamond" w:cs="CentaurMTStd"/>
          <w:noProof/>
          <w:color w:val="000000"/>
          <w:lang w:eastAsia="zh-CN"/>
        </w:rPr>
        <w:t>(</w:t>
      </w:r>
      <w:r w:rsidR="00177A96">
        <w:rPr>
          <w:rFonts w:ascii="Garamond" w:hAnsi="Garamond" w:cs="CentaurMTStd"/>
          <w:noProof/>
          <w:color w:val="000000"/>
          <w:lang w:eastAsia="zh-CN"/>
        </w:rPr>
        <w:t>4</w:t>
      </w:r>
      <w:r w:rsidRPr="0037135C">
        <w:rPr>
          <w:rFonts w:ascii="Garamond" w:hAnsi="Garamond" w:cs="CentaurMTStd"/>
          <w:noProof/>
          <w:color w:val="000000"/>
          <w:lang w:eastAsia="zh-CN"/>
        </w:rPr>
        <w:t>) d</w:t>
      </w:r>
      <w:r w:rsidRPr="005270B0">
        <w:rPr>
          <w:rFonts w:ascii="Garamond" w:hAnsi="Garamond" w:cs="CentaurMTStd"/>
          <w:noProof/>
          <w:color w:val="000000"/>
          <w:lang w:eastAsia="zh-CN"/>
        </w:rPr>
        <w:t>ays of ope</w:t>
      </w:r>
      <w:r w:rsidRPr="00FF31B1">
        <w:rPr>
          <w:rFonts w:ascii="Garamond" w:hAnsi="Garamond" w:cs="CentaurMTStd"/>
          <w:noProof/>
          <w:color w:val="000000"/>
          <w:lang w:eastAsia="zh-CN"/>
        </w:rPr>
        <w:t>ration since the 0</w:t>
      </w:r>
      <w:r w:rsidR="008C2FD3">
        <w:rPr>
          <w:rFonts w:ascii="Garamond" w:hAnsi="Garamond" w:cs="CentaurMTStd"/>
          <w:noProof/>
          <w:color w:val="000000"/>
          <w:lang w:eastAsia="zh-CN"/>
        </w:rPr>
        <w:t>40</w:t>
      </w:r>
      <w:r w:rsidR="00177A96">
        <w:rPr>
          <w:rFonts w:ascii="Garamond" w:hAnsi="Garamond" w:cs="CentaurMTStd"/>
          <w:noProof/>
          <w:color w:val="000000"/>
          <w:lang w:eastAsia="zh-CN"/>
        </w:rPr>
        <w:t>8</w:t>
      </w:r>
      <w:r w:rsidRPr="00FF31B1">
        <w:rPr>
          <w:rFonts w:ascii="Garamond" w:hAnsi="Garamond" w:cs="CentaurMTStd"/>
          <w:noProof/>
          <w:color w:val="000000"/>
          <w:lang w:eastAsia="zh-CN"/>
        </w:rPr>
        <w:t xml:space="preserve">2022 SITREP, </w:t>
      </w:r>
      <w:r w:rsidR="003611F2">
        <w:rPr>
          <w:rFonts w:ascii="Garamond" w:hAnsi="Garamond" w:cs="CentaurMTStd"/>
          <w:noProof/>
          <w:color w:val="000000"/>
          <w:lang w:eastAsia="zh-CN"/>
        </w:rPr>
        <w:t>six</w:t>
      </w:r>
      <w:r w:rsidRPr="00FF31B1">
        <w:rPr>
          <w:rFonts w:ascii="Garamond" w:hAnsi="Garamond" w:cs="CentaurMTStd"/>
          <w:noProof/>
          <w:color w:val="000000"/>
          <w:lang w:eastAsia="zh-CN"/>
        </w:rPr>
        <w:t xml:space="preserve"> (</w:t>
      </w:r>
      <w:r w:rsidR="003611F2">
        <w:rPr>
          <w:rFonts w:ascii="Garamond" w:hAnsi="Garamond" w:cs="CentaurMTStd"/>
          <w:noProof/>
          <w:color w:val="000000"/>
          <w:lang w:eastAsia="zh-CN"/>
        </w:rPr>
        <w:t>6</w:t>
      </w:r>
      <w:r w:rsidRPr="00FF31B1">
        <w:rPr>
          <w:rFonts w:ascii="Garamond" w:hAnsi="Garamond" w:cs="CentaurMTStd"/>
          <w:noProof/>
          <w:color w:val="000000"/>
          <w:lang w:eastAsia="zh-CN"/>
        </w:rPr>
        <w:t>)</w:t>
      </w:r>
      <w:r>
        <w:rPr>
          <w:rFonts w:ascii="Garamond" w:hAnsi="Garamond" w:cs="CentaurMTStd"/>
          <w:noProof/>
          <w:color w:val="000000"/>
          <w:lang w:eastAsia="zh-CN"/>
        </w:rPr>
        <w:t xml:space="preserve"> </w:t>
      </w:r>
      <w:r w:rsidRPr="00FF31B1">
        <w:rPr>
          <w:rFonts w:ascii="Garamond" w:hAnsi="Garamond" w:cs="CentaurMTStd"/>
          <w:noProof/>
          <w:color w:val="000000"/>
          <w:lang w:eastAsia="zh-CN"/>
        </w:rPr>
        <w:t>contact tracers were utilized</w:t>
      </w:r>
      <w:r w:rsidRPr="00F10742">
        <w:rPr>
          <w:rFonts w:ascii="Garamond" w:hAnsi="Garamond" w:cs="CentaurMTStd"/>
          <w:noProof/>
          <w:color w:val="000000"/>
          <w:lang w:eastAsia="zh-CN"/>
        </w:rPr>
        <w:t xml:space="preserve"> </w:t>
      </w:r>
      <w:r w:rsidRPr="003375B7">
        <w:rPr>
          <w:rFonts w:ascii="Garamond" w:hAnsi="Garamond" w:cs="CentaurMTStd"/>
          <w:noProof/>
          <w:color w:val="000000"/>
          <w:lang w:eastAsia="zh-CN"/>
        </w:rPr>
        <w:t xml:space="preserve">to conduct contact exposure tracing and case investigations </w:t>
      </w:r>
      <w:r w:rsidRPr="004B7E4C">
        <w:rPr>
          <w:rFonts w:ascii="Garamond" w:hAnsi="Garamond" w:cs="CentaurMTStd"/>
          <w:noProof/>
          <w:color w:val="000000"/>
          <w:shd w:val="clear" w:color="auto" w:fill="FFFFFF" w:themeFill="background1"/>
          <w:lang w:eastAsia="zh-CN"/>
        </w:rPr>
        <w:t>providin</w:t>
      </w:r>
      <w:r w:rsidRPr="004B7E4C">
        <w:rPr>
          <w:rFonts w:ascii="Garamond" w:hAnsi="Garamond" w:cs="CentaurMTStd"/>
          <w:noProof/>
          <w:color w:val="000000"/>
          <w:lang w:eastAsia="zh-CN"/>
        </w:rPr>
        <w:t xml:space="preserve">g </w:t>
      </w:r>
      <w:r w:rsidR="004B7E4C" w:rsidRPr="004B7E4C">
        <w:rPr>
          <w:rFonts w:ascii="Garamond" w:hAnsi="Garamond" w:cs="CentaurMTStd"/>
          <w:noProof/>
          <w:color w:val="000000"/>
          <w:lang w:eastAsia="zh-CN"/>
        </w:rPr>
        <w:t>151</w:t>
      </w:r>
      <w:r w:rsidRPr="004B7E4C">
        <w:rPr>
          <w:rFonts w:ascii="Garamond" w:hAnsi="Garamond" w:cs="CentaurMTStd"/>
          <w:noProof/>
          <w:color w:val="000000"/>
          <w:lang w:eastAsia="zh-CN"/>
        </w:rPr>
        <w:t xml:space="preserve"> hours of services.  </w:t>
      </w:r>
      <w:r w:rsidR="003375B7" w:rsidRPr="004B7E4C">
        <w:rPr>
          <w:rFonts w:ascii="Garamond" w:hAnsi="Garamond" w:cs="CentaurMTStd"/>
          <w:noProof/>
          <w:color w:val="000000"/>
          <w:lang w:eastAsia="zh-CN"/>
        </w:rPr>
        <w:t>12,</w:t>
      </w:r>
      <w:r w:rsidR="004B7E4C" w:rsidRPr="004B7E4C">
        <w:rPr>
          <w:rFonts w:ascii="Garamond" w:hAnsi="Garamond" w:cs="CentaurMTStd"/>
          <w:noProof/>
          <w:color w:val="000000"/>
          <w:lang w:eastAsia="zh-CN"/>
        </w:rPr>
        <w:t>198</w:t>
      </w:r>
      <w:r w:rsidRPr="008B68F2">
        <w:rPr>
          <w:rFonts w:ascii="Garamond" w:hAnsi="Garamond" w:cs="CentaurMTStd"/>
          <w:noProof/>
          <w:color w:val="000000"/>
          <w:lang w:eastAsia="zh-CN"/>
        </w:rPr>
        <w:t xml:space="preserve"> hours</w:t>
      </w:r>
      <w:r w:rsidRPr="00B102A8">
        <w:rPr>
          <w:rFonts w:ascii="Garamond" w:hAnsi="Garamond" w:cs="CentaurMTStd"/>
          <w:noProof/>
          <w:color w:val="000000"/>
          <w:lang w:eastAsia="zh-CN"/>
        </w:rPr>
        <w:t xml:space="preserve"> have</w:t>
      </w:r>
      <w:r w:rsidRPr="00DC3D1A">
        <w:rPr>
          <w:rFonts w:ascii="Garamond" w:hAnsi="Garamond" w:cs="CentaurMTStd"/>
          <w:noProof/>
          <w:color w:val="000000"/>
          <w:lang w:eastAsia="zh-CN"/>
        </w:rPr>
        <w:t xml:space="preserve"> been recorded for tracing efforts since the operation began at the start of Fall 2020 semester.   </w:t>
      </w:r>
    </w:p>
    <w:p w14:paraId="1A504A5D" w14:textId="77777777" w:rsidR="004C16E0" w:rsidRPr="00DC3D1A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lang w:eastAsia="zh-CN"/>
        </w:rPr>
      </w:pPr>
    </w:p>
    <w:p w14:paraId="75BB7447" w14:textId="59CAEA87" w:rsidR="00EE77DB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lang w:eastAsia="zh-CN"/>
        </w:rPr>
      </w:pPr>
      <w:r w:rsidRPr="00DC3D1A">
        <w:rPr>
          <w:rFonts w:ascii="Garamond" w:hAnsi="Garamond" w:cs="CentaurMTStd"/>
          <w:noProof/>
          <w:lang w:eastAsia="zh-CN"/>
        </w:rPr>
        <w:t xml:space="preserve">Since the last </w:t>
      </w:r>
      <w:r w:rsidRPr="00B102A8">
        <w:rPr>
          <w:rFonts w:ascii="Garamond" w:hAnsi="Garamond" w:cs="CentaurMTStd"/>
          <w:noProof/>
          <w:lang w:eastAsia="zh-CN"/>
        </w:rPr>
        <w:t>SITREP</w:t>
      </w:r>
      <w:r w:rsidRPr="004B7E4C">
        <w:rPr>
          <w:rFonts w:ascii="Garamond" w:hAnsi="Garamond" w:cs="CentaurMTStd"/>
          <w:noProof/>
          <w:lang w:eastAsia="zh-CN"/>
        </w:rPr>
        <w:t xml:space="preserve">, </w:t>
      </w:r>
      <w:r w:rsidR="004B7E4C" w:rsidRPr="004B7E4C">
        <w:rPr>
          <w:rFonts w:ascii="Garamond" w:hAnsi="Garamond" w:cs="CentaurMTStd"/>
          <w:noProof/>
          <w:lang w:eastAsia="zh-CN"/>
        </w:rPr>
        <w:t>fifty four</w:t>
      </w:r>
      <w:r w:rsidRPr="004B7E4C">
        <w:rPr>
          <w:rFonts w:ascii="Garamond" w:hAnsi="Garamond" w:cs="CentaurMTStd"/>
          <w:noProof/>
          <w:lang w:eastAsia="zh-CN"/>
        </w:rPr>
        <w:t xml:space="preserve"> (</w:t>
      </w:r>
      <w:r w:rsidR="004B7E4C" w:rsidRPr="004B7E4C">
        <w:rPr>
          <w:rFonts w:ascii="Garamond" w:hAnsi="Garamond" w:cs="CentaurMTStd"/>
          <w:noProof/>
          <w:lang w:eastAsia="zh-CN"/>
        </w:rPr>
        <w:t>54</w:t>
      </w:r>
      <w:r w:rsidRPr="004B7E4C">
        <w:rPr>
          <w:rFonts w:ascii="Garamond" w:hAnsi="Garamond" w:cs="CentaurMTStd"/>
          <w:noProof/>
          <w:lang w:eastAsia="zh-CN"/>
        </w:rPr>
        <w:t>)</w:t>
      </w:r>
      <w:r w:rsidRPr="00B102A8">
        <w:rPr>
          <w:rFonts w:ascii="Garamond" w:hAnsi="Garamond" w:cs="CentaurMTStd"/>
          <w:noProof/>
          <w:lang w:eastAsia="zh-CN"/>
        </w:rPr>
        <w:t xml:space="preserve"> members</w:t>
      </w:r>
      <w:r w:rsidRPr="003B20AC">
        <w:rPr>
          <w:rFonts w:ascii="Garamond" w:hAnsi="Garamond" w:cs="CentaurMTStd"/>
          <w:noProof/>
          <w:lang w:eastAsia="zh-CN"/>
        </w:rPr>
        <w:t xml:space="preserve"> of ECU’s community have been traced.</w:t>
      </w:r>
      <w:r w:rsidRPr="006033AE">
        <w:rPr>
          <w:rFonts w:ascii="Garamond" w:hAnsi="Garamond" w:cs="CentaurMTStd"/>
          <w:noProof/>
          <w:lang w:eastAsia="zh-CN"/>
        </w:rPr>
        <w:t xml:space="preserve"> </w:t>
      </w:r>
      <w:r>
        <w:rPr>
          <w:rFonts w:ascii="Garamond" w:hAnsi="Garamond" w:cs="CentaurMTStd"/>
          <w:noProof/>
          <w:lang w:eastAsia="zh-CN"/>
        </w:rPr>
        <w:t xml:space="preserve"> For clarifying purposes the chart below runs 08102020 (start of Fall 2020 semester) through current.  </w:t>
      </w:r>
    </w:p>
    <w:p w14:paraId="52C5364D" w14:textId="77777777" w:rsidR="00EE77DB" w:rsidRDefault="00EE77DB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lang w:eastAsia="zh-CN"/>
        </w:rPr>
      </w:pPr>
    </w:p>
    <w:p w14:paraId="15418989" w14:textId="05CAF07F" w:rsidR="004C16E0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lang w:eastAsia="zh-CN"/>
        </w:rPr>
      </w:pPr>
      <w:r>
        <w:rPr>
          <w:rFonts w:ascii="Garamond" w:hAnsi="Garamond" w:cs="CentaurMTStd"/>
          <w:noProof/>
          <w:lang w:eastAsia="zh-CN"/>
        </w:rPr>
        <w:t xml:space="preserve"> </w:t>
      </w:r>
      <w:r w:rsidR="004B7E4C">
        <w:rPr>
          <w:noProof/>
        </w:rPr>
        <w:drawing>
          <wp:inline distT="0" distB="0" distL="0" distR="0" wp14:anchorId="5578DF9F" wp14:editId="55424B86">
            <wp:extent cx="5876925" cy="2743200"/>
            <wp:effectExtent l="0" t="0" r="952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3F493C4-0024-4328-9E45-0F2B0CEC1F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Garamond" w:hAnsi="Garamond" w:cs="CentaurMTStd"/>
          <w:noProof/>
          <w:lang w:eastAsia="zh-CN"/>
        </w:rPr>
        <w:t xml:space="preserve"> </w:t>
      </w:r>
    </w:p>
    <w:p w14:paraId="3CE6118E" w14:textId="77777777" w:rsidR="004C16E0" w:rsidRPr="00DF0D0B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lang w:eastAsia="zh-CN"/>
        </w:rPr>
      </w:pPr>
    </w:p>
    <w:p w14:paraId="613C4D73" w14:textId="77777777" w:rsidR="004C16E0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highlight w:val="yellow"/>
          <w:lang w:eastAsia="zh-CN"/>
        </w:rPr>
      </w:pPr>
      <w:r>
        <w:rPr>
          <w:rFonts w:ascii="Garamond" w:hAnsi="Garamond" w:cs="CentaurMTStd"/>
          <w:noProof/>
          <w:color w:val="000000"/>
          <w:lang w:eastAsia="zh-CN"/>
        </w:rPr>
        <w:t>A</w:t>
      </w:r>
      <w:r w:rsidRPr="00411432">
        <w:rPr>
          <w:rFonts w:ascii="Garamond" w:hAnsi="Garamond" w:cs="CentaurMTStd"/>
          <w:noProof/>
          <w:color w:val="000000"/>
          <w:lang w:eastAsia="zh-CN"/>
        </w:rPr>
        <w:t xml:space="preserve"> breakdown of closures </w:t>
      </w:r>
      <w:r>
        <w:rPr>
          <w:rFonts w:ascii="Garamond" w:hAnsi="Garamond" w:cs="CentaurMTStd"/>
          <w:noProof/>
          <w:color w:val="000000"/>
          <w:lang w:eastAsia="zh-CN"/>
        </w:rPr>
        <w:t xml:space="preserve">for this week is </w:t>
      </w:r>
      <w:r w:rsidRPr="00411432">
        <w:rPr>
          <w:rFonts w:ascii="Garamond" w:hAnsi="Garamond" w:cs="CentaurMTStd"/>
          <w:noProof/>
          <w:color w:val="000000"/>
          <w:lang w:eastAsia="zh-CN"/>
        </w:rPr>
        <w:t xml:space="preserve">provided below.  </w:t>
      </w:r>
    </w:p>
    <w:p w14:paraId="61741EF3" w14:textId="77777777" w:rsidR="004C16E0" w:rsidRPr="000D42E2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highlight w:val="yellow"/>
          <w:lang w:eastAsia="zh-CN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255"/>
        <w:gridCol w:w="990"/>
        <w:gridCol w:w="1350"/>
        <w:gridCol w:w="1170"/>
        <w:gridCol w:w="1080"/>
        <w:gridCol w:w="1350"/>
        <w:gridCol w:w="1260"/>
        <w:gridCol w:w="990"/>
      </w:tblGrid>
      <w:tr w:rsidR="004C16E0" w:rsidRPr="000D42E2" w14:paraId="12528DAF" w14:textId="77777777" w:rsidTr="005D09C6">
        <w:trPr>
          <w:trHeight w:val="721"/>
        </w:trPr>
        <w:tc>
          <w:tcPr>
            <w:tcW w:w="1255" w:type="dxa"/>
            <w:shd w:val="clear" w:color="auto" w:fill="B2A1C7" w:themeFill="accent4" w:themeFillTint="99"/>
          </w:tcPr>
          <w:p w14:paraId="3ED438E1" w14:textId="77777777" w:rsidR="004C16E0" w:rsidRPr="00411432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0" w:type="dxa"/>
            <w:shd w:val="clear" w:color="auto" w:fill="E5DFEC" w:themeFill="accent4" w:themeFillTint="33"/>
          </w:tcPr>
          <w:p w14:paraId="6E96D917" w14:textId="77777777" w:rsidR="004C16E0" w:rsidRPr="00411432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411432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Investigations Entered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14:paraId="2C1340E4" w14:textId="77777777" w:rsidR="004C16E0" w:rsidRPr="00411432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411432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Exposures Verbally Confirmed +</w:t>
            </w:r>
          </w:p>
        </w:tc>
        <w:tc>
          <w:tcPr>
            <w:tcW w:w="1170" w:type="dxa"/>
            <w:shd w:val="clear" w:color="auto" w:fill="E5DFEC" w:themeFill="accent4" w:themeFillTint="33"/>
          </w:tcPr>
          <w:p w14:paraId="79AD3647" w14:textId="77777777" w:rsidR="004C16E0" w:rsidRPr="00411432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411432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Exposures Entered</w:t>
            </w:r>
          </w:p>
        </w:tc>
        <w:tc>
          <w:tcPr>
            <w:tcW w:w="1080" w:type="dxa"/>
            <w:shd w:val="clear" w:color="auto" w:fill="E5DFEC" w:themeFill="accent4" w:themeFillTint="33"/>
          </w:tcPr>
          <w:p w14:paraId="05083EA1" w14:textId="77777777" w:rsidR="004C16E0" w:rsidRPr="00411432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411432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Exposure Phase Out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14:paraId="28574B48" w14:textId="77777777" w:rsidR="004C16E0" w:rsidRPr="00411432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411432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Investigation Phase Out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14:paraId="37EFC3C0" w14:textId="77777777" w:rsidR="004C16E0" w:rsidRPr="00411432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Exposed, but Fully Vaccinated</w:t>
            </w:r>
          </w:p>
        </w:tc>
        <w:tc>
          <w:tcPr>
            <w:tcW w:w="990" w:type="dxa"/>
            <w:shd w:val="clear" w:color="auto" w:fill="E5DFEC" w:themeFill="accent4" w:themeFillTint="33"/>
          </w:tcPr>
          <w:p w14:paraId="0435783E" w14:textId="77777777" w:rsidR="004C16E0" w:rsidRPr="00411432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411432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Total</w:t>
            </w:r>
          </w:p>
        </w:tc>
      </w:tr>
      <w:tr w:rsidR="004C16E0" w:rsidRPr="000D42E2" w14:paraId="0F33E9E9" w14:textId="77777777" w:rsidTr="005D09C6">
        <w:tc>
          <w:tcPr>
            <w:tcW w:w="1255" w:type="dxa"/>
            <w:shd w:val="clear" w:color="auto" w:fill="B2A1C7" w:themeFill="accent4" w:themeFillTint="99"/>
          </w:tcPr>
          <w:p w14:paraId="04123E08" w14:textId="77777777" w:rsidR="004C16E0" w:rsidRPr="00411432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411432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Saturday</w:t>
            </w:r>
          </w:p>
        </w:tc>
        <w:tc>
          <w:tcPr>
            <w:tcW w:w="990" w:type="dxa"/>
          </w:tcPr>
          <w:p w14:paraId="4AE26903" w14:textId="0661003E" w:rsidR="004C16E0" w:rsidRPr="00411432" w:rsidRDefault="008C2FD3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0" w:type="dxa"/>
          </w:tcPr>
          <w:p w14:paraId="6AE36317" w14:textId="5252F6F5" w:rsidR="004C16E0" w:rsidRPr="00411432" w:rsidRDefault="008C2FD3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70" w:type="dxa"/>
          </w:tcPr>
          <w:p w14:paraId="305D62BE" w14:textId="53D8E3D4" w:rsidR="004C16E0" w:rsidRPr="00411432" w:rsidRDefault="008C2FD3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</w:tcPr>
          <w:p w14:paraId="09A1D065" w14:textId="42A91927" w:rsidR="004C16E0" w:rsidRPr="00411432" w:rsidRDefault="008C2FD3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0" w:type="dxa"/>
          </w:tcPr>
          <w:p w14:paraId="1FC45D1A" w14:textId="6C36BE8A" w:rsidR="004C16E0" w:rsidRPr="00411432" w:rsidRDefault="008C2FD3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60" w:type="dxa"/>
          </w:tcPr>
          <w:p w14:paraId="4B3480F1" w14:textId="0B389804" w:rsidR="004C16E0" w:rsidRDefault="008C2FD3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0" w:type="dxa"/>
          </w:tcPr>
          <w:p w14:paraId="384376DE" w14:textId="152C89E1" w:rsidR="004C16E0" w:rsidRPr="00411432" w:rsidRDefault="008C2FD3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3611F2" w:rsidRPr="000D42E2" w14:paraId="479BBFCF" w14:textId="77777777" w:rsidTr="005D09C6">
        <w:tc>
          <w:tcPr>
            <w:tcW w:w="1255" w:type="dxa"/>
            <w:shd w:val="clear" w:color="auto" w:fill="B2A1C7" w:themeFill="accent4" w:themeFillTint="99"/>
          </w:tcPr>
          <w:p w14:paraId="55A13927" w14:textId="77777777" w:rsidR="003611F2" w:rsidRPr="00411432" w:rsidRDefault="003611F2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411432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Sunday</w:t>
            </w:r>
          </w:p>
        </w:tc>
        <w:tc>
          <w:tcPr>
            <w:tcW w:w="990" w:type="dxa"/>
          </w:tcPr>
          <w:p w14:paraId="251A7F23" w14:textId="0C99F83D" w:rsidR="003611F2" w:rsidRPr="00411432" w:rsidRDefault="003611F2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0" w:type="dxa"/>
          </w:tcPr>
          <w:p w14:paraId="048C1FC2" w14:textId="09D4E526" w:rsidR="003611F2" w:rsidRPr="00411432" w:rsidRDefault="003611F2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70" w:type="dxa"/>
          </w:tcPr>
          <w:p w14:paraId="0EAB183E" w14:textId="4767A3FE" w:rsidR="003611F2" w:rsidRPr="00411432" w:rsidRDefault="003611F2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</w:tcPr>
          <w:p w14:paraId="54CDAFEE" w14:textId="6E0B2229" w:rsidR="003611F2" w:rsidRPr="00411432" w:rsidRDefault="003611F2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0" w:type="dxa"/>
          </w:tcPr>
          <w:p w14:paraId="71E31A25" w14:textId="3C2A6566" w:rsidR="003611F2" w:rsidRPr="00411432" w:rsidRDefault="003611F2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60" w:type="dxa"/>
          </w:tcPr>
          <w:p w14:paraId="306EF1BB" w14:textId="4180C01D" w:rsidR="003611F2" w:rsidRDefault="003611F2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0" w:type="dxa"/>
          </w:tcPr>
          <w:p w14:paraId="2B3C692D" w14:textId="0356EC02" w:rsidR="003611F2" w:rsidRPr="00411432" w:rsidRDefault="003611F2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3611F2" w:rsidRPr="000D42E2" w14:paraId="399B29C1" w14:textId="77777777" w:rsidTr="005D09C6">
        <w:tc>
          <w:tcPr>
            <w:tcW w:w="1255" w:type="dxa"/>
            <w:shd w:val="clear" w:color="auto" w:fill="B2A1C7" w:themeFill="accent4" w:themeFillTint="99"/>
          </w:tcPr>
          <w:p w14:paraId="3D1A4795" w14:textId="77777777" w:rsidR="003611F2" w:rsidRPr="00411432" w:rsidRDefault="003611F2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411432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Monday</w:t>
            </w:r>
          </w:p>
        </w:tc>
        <w:tc>
          <w:tcPr>
            <w:tcW w:w="990" w:type="dxa"/>
          </w:tcPr>
          <w:p w14:paraId="343901BC" w14:textId="36193C49" w:rsidR="003611F2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350" w:type="dxa"/>
          </w:tcPr>
          <w:p w14:paraId="0A0464A3" w14:textId="012A8F18" w:rsidR="003611F2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70" w:type="dxa"/>
          </w:tcPr>
          <w:p w14:paraId="659584CC" w14:textId="58C045A3" w:rsidR="003611F2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80" w:type="dxa"/>
          </w:tcPr>
          <w:p w14:paraId="3414802B" w14:textId="633C67B7" w:rsidR="003611F2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0" w:type="dxa"/>
          </w:tcPr>
          <w:p w14:paraId="1185C758" w14:textId="1F63B332" w:rsidR="003611F2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60" w:type="dxa"/>
          </w:tcPr>
          <w:p w14:paraId="543D26A7" w14:textId="4EDE453A" w:rsidR="003611F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0" w:type="dxa"/>
          </w:tcPr>
          <w:p w14:paraId="4900AA89" w14:textId="4012A786" w:rsidR="003611F2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8</w:t>
            </w:r>
          </w:p>
        </w:tc>
      </w:tr>
      <w:tr w:rsidR="003611F2" w:rsidRPr="000D42E2" w14:paraId="611ED6D4" w14:textId="77777777" w:rsidTr="005D09C6">
        <w:tc>
          <w:tcPr>
            <w:tcW w:w="1255" w:type="dxa"/>
            <w:shd w:val="clear" w:color="auto" w:fill="B2A1C7" w:themeFill="accent4" w:themeFillTint="99"/>
          </w:tcPr>
          <w:p w14:paraId="109D9EBE" w14:textId="77777777" w:rsidR="003611F2" w:rsidRPr="00411432" w:rsidRDefault="003611F2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411432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lastRenderedPageBreak/>
              <w:t>Tuesday</w:t>
            </w:r>
          </w:p>
        </w:tc>
        <w:tc>
          <w:tcPr>
            <w:tcW w:w="990" w:type="dxa"/>
          </w:tcPr>
          <w:p w14:paraId="09DF9965" w14:textId="26B19746" w:rsidR="003611F2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50" w:type="dxa"/>
          </w:tcPr>
          <w:p w14:paraId="620C7E46" w14:textId="060518DF" w:rsidR="003611F2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70" w:type="dxa"/>
          </w:tcPr>
          <w:p w14:paraId="14552151" w14:textId="0C97DE95" w:rsidR="003611F2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80" w:type="dxa"/>
          </w:tcPr>
          <w:p w14:paraId="20EBEAC2" w14:textId="3942BD1E" w:rsidR="003611F2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0" w:type="dxa"/>
          </w:tcPr>
          <w:p w14:paraId="1599CF26" w14:textId="505DEA36" w:rsidR="003611F2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60" w:type="dxa"/>
          </w:tcPr>
          <w:p w14:paraId="48ACA0E6" w14:textId="3DEEE9F1" w:rsidR="003611F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0" w:type="dxa"/>
          </w:tcPr>
          <w:p w14:paraId="21A564F5" w14:textId="188B8CA0" w:rsidR="003611F2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18</w:t>
            </w:r>
          </w:p>
        </w:tc>
      </w:tr>
      <w:tr w:rsidR="003611F2" w:rsidRPr="000D42E2" w14:paraId="45F7758D" w14:textId="77777777" w:rsidTr="005D09C6">
        <w:tc>
          <w:tcPr>
            <w:tcW w:w="1255" w:type="dxa"/>
            <w:shd w:val="clear" w:color="auto" w:fill="B2A1C7" w:themeFill="accent4" w:themeFillTint="99"/>
          </w:tcPr>
          <w:p w14:paraId="77247C52" w14:textId="77777777" w:rsidR="003611F2" w:rsidRPr="00411432" w:rsidRDefault="003611F2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411432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Wednesday</w:t>
            </w:r>
          </w:p>
        </w:tc>
        <w:tc>
          <w:tcPr>
            <w:tcW w:w="990" w:type="dxa"/>
          </w:tcPr>
          <w:p w14:paraId="4DC258EA" w14:textId="3C9E9B22" w:rsidR="003611F2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350" w:type="dxa"/>
          </w:tcPr>
          <w:p w14:paraId="33D9DE0D" w14:textId="2BB24C5B" w:rsidR="003611F2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70" w:type="dxa"/>
          </w:tcPr>
          <w:p w14:paraId="482878C8" w14:textId="72281333" w:rsidR="003611F2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80" w:type="dxa"/>
          </w:tcPr>
          <w:p w14:paraId="53AE6540" w14:textId="06758B0F" w:rsidR="003611F2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350" w:type="dxa"/>
          </w:tcPr>
          <w:p w14:paraId="646F24DC" w14:textId="666477EB" w:rsidR="003611F2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60" w:type="dxa"/>
          </w:tcPr>
          <w:p w14:paraId="16E5F93F" w14:textId="79A21035" w:rsidR="003611F2" w:rsidRDefault="003611F2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0" w:type="dxa"/>
          </w:tcPr>
          <w:p w14:paraId="0F9799E4" w14:textId="5954AD73" w:rsidR="003611F2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 w:rsidR="003611F2" w:rsidRPr="000D42E2" w14:paraId="5C690E51" w14:textId="77777777" w:rsidTr="005D09C6">
        <w:tc>
          <w:tcPr>
            <w:tcW w:w="1255" w:type="dxa"/>
            <w:shd w:val="clear" w:color="auto" w:fill="B2A1C7" w:themeFill="accent4" w:themeFillTint="99"/>
          </w:tcPr>
          <w:p w14:paraId="41658521" w14:textId="77777777" w:rsidR="003611F2" w:rsidRPr="00411432" w:rsidRDefault="003611F2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411432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Thursday</w:t>
            </w:r>
          </w:p>
        </w:tc>
        <w:tc>
          <w:tcPr>
            <w:tcW w:w="990" w:type="dxa"/>
          </w:tcPr>
          <w:p w14:paraId="6EB113D5" w14:textId="37BAAB55" w:rsidR="003611F2" w:rsidRPr="00411432" w:rsidRDefault="004B7E4C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350" w:type="dxa"/>
          </w:tcPr>
          <w:p w14:paraId="1A52D236" w14:textId="0F4BA4B6" w:rsidR="003611F2" w:rsidRPr="00411432" w:rsidRDefault="004B7E4C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70" w:type="dxa"/>
          </w:tcPr>
          <w:p w14:paraId="76571098" w14:textId="63FAA2DF" w:rsidR="003611F2" w:rsidRPr="00411432" w:rsidRDefault="004B7E4C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80" w:type="dxa"/>
          </w:tcPr>
          <w:p w14:paraId="05249327" w14:textId="21472D2A" w:rsidR="003611F2" w:rsidRPr="00411432" w:rsidRDefault="004B7E4C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50" w:type="dxa"/>
          </w:tcPr>
          <w:p w14:paraId="672E036D" w14:textId="429C6A2B" w:rsidR="003611F2" w:rsidRPr="00411432" w:rsidRDefault="004B7E4C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60" w:type="dxa"/>
          </w:tcPr>
          <w:p w14:paraId="6B4658A4" w14:textId="05A1B929" w:rsidR="003611F2" w:rsidRDefault="004B7E4C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0" w:type="dxa"/>
          </w:tcPr>
          <w:p w14:paraId="04C388F0" w14:textId="130EE428" w:rsidR="003611F2" w:rsidRPr="00411432" w:rsidRDefault="004B7E4C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26</w:t>
            </w:r>
          </w:p>
        </w:tc>
      </w:tr>
      <w:tr w:rsidR="00177A96" w:rsidRPr="000D42E2" w14:paraId="37830E1C" w14:textId="77777777" w:rsidTr="000547D8">
        <w:tc>
          <w:tcPr>
            <w:tcW w:w="1255" w:type="dxa"/>
            <w:shd w:val="clear" w:color="auto" w:fill="B2A1C7" w:themeFill="accent4" w:themeFillTint="99"/>
          </w:tcPr>
          <w:p w14:paraId="45571CEE" w14:textId="77777777" w:rsidR="00177A96" w:rsidRPr="00411432" w:rsidRDefault="00177A96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411432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Friday</w:t>
            </w:r>
          </w:p>
        </w:tc>
        <w:tc>
          <w:tcPr>
            <w:tcW w:w="8190" w:type="dxa"/>
            <w:gridSpan w:val="7"/>
          </w:tcPr>
          <w:p w14:paraId="41ECE111" w14:textId="634D21FE" w:rsidR="00177A96" w:rsidRPr="00411432" w:rsidRDefault="00177A96" w:rsidP="00177A96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Will Not Operate - Holiday</w:t>
            </w:r>
          </w:p>
        </w:tc>
      </w:tr>
      <w:tr w:rsidR="003611F2" w:rsidRPr="000D42E2" w14:paraId="5338A21B" w14:textId="77777777" w:rsidTr="005D09C6">
        <w:tc>
          <w:tcPr>
            <w:tcW w:w="8455" w:type="dxa"/>
            <w:gridSpan w:val="7"/>
            <w:shd w:val="clear" w:color="auto" w:fill="FFFFFF" w:themeFill="background1"/>
          </w:tcPr>
          <w:p w14:paraId="39C12635" w14:textId="5497389D" w:rsidR="003611F2" w:rsidRDefault="003611F2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b/>
                <w:bCs/>
                <w:noProof/>
                <w:color w:val="000000"/>
                <w:sz w:val="22"/>
                <w:szCs w:val="22"/>
                <w:lang w:eastAsia="zh-CN"/>
              </w:rPr>
            </w:pPr>
            <w:r w:rsidRPr="00712B30">
              <w:rPr>
                <w:rFonts w:ascii="Garamond" w:hAnsi="Garamond" w:cs="CentaurMTStd"/>
                <w:b/>
                <w:bCs/>
                <w:noProof/>
                <w:color w:val="000000"/>
                <w:sz w:val="22"/>
                <w:szCs w:val="22"/>
                <w:lang w:eastAsia="zh-CN"/>
              </w:rPr>
              <w:t xml:space="preserve">CLOSED CASES FOR WEEK </w:t>
            </w:r>
            <w:r w:rsidR="008C2FD3">
              <w:rPr>
                <w:rFonts w:ascii="Garamond" w:hAnsi="Garamond" w:cs="CentaurMTStd"/>
                <w:b/>
                <w:bCs/>
                <w:noProof/>
                <w:color w:val="000000"/>
                <w:sz w:val="22"/>
                <w:szCs w:val="22"/>
                <w:lang w:eastAsia="zh-CN"/>
              </w:rPr>
              <w:t>F</w:t>
            </w:r>
            <w:r w:rsidR="00177A96">
              <w:rPr>
                <w:rFonts w:ascii="Garamond" w:hAnsi="Garamond" w:cs="CentaurMTStd"/>
                <w:b/>
                <w:bCs/>
                <w:noProof/>
                <w:color w:val="000000"/>
                <w:sz w:val="22"/>
                <w:szCs w:val="22"/>
                <w:lang w:eastAsia="zh-CN"/>
              </w:rPr>
              <w:t>ifteen</w:t>
            </w:r>
            <w:r>
              <w:rPr>
                <w:rFonts w:ascii="Garamond" w:hAnsi="Garamond" w:cs="CentaurMTStd"/>
                <w:b/>
                <w:bCs/>
                <w:noProof/>
                <w:color w:val="000000"/>
                <w:sz w:val="22"/>
                <w:szCs w:val="22"/>
                <w:lang w:eastAsia="zh-CN"/>
              </w:rPr>
              <w:t xml:space="preserve"> 2022:</w:t>
            </w:r>
          </w:p>
        </w:tc>
        <w:tc>
          <w:tcPr>
            <w:tcW w:w="990" w:type="dxa"/>
            <w:shd w:val="clear" w:color="auto" w:fill="FFFFFF" w:themeFill="background1"/>
          </w:tcPr>
          <w:p w14:paraId="41E39785" w14:textId="48938909" w:rsidR="003611F2" w:rsidRPr="00734652" w:rsidRDefault="004B7E4C" w:rsidP="003611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b/>
                <w:bCs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b/>
                <w:bCs/>
                <w:noProof/>
                <w:color w:val="000000"/>
                <w:sz w:val="22"/>
                <w:szCs w:val="22"/>
                <w:lang w:eastAsia="zh-CN"/>
              </w:rPr>
              <w:t>54</w:t>
            </w:r>
          </w:p>
        </w:tc>
      </w:tr>
    </w:tbl>
    <w:p w14:paraId="3EAFC904" w14:textId="77777777" w:rsidR="004C16E0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lang w:eastAsia="zh-CN"/>
        </w:rPr>
      </w:pPr>
    </w:p>
    <w:p w14:paraId="78BF64CF" w14:textId="77777777" w:rsidR="004C16E0" w:rsidRPr="00DA3C17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lang w:eastAsia="zh-CN"/>
        </w:rPr>
      </w:pPr>
      <w:r w:rsidRPr="00DA3C17">
        <w:rPr>
          <w:rFonts w:ascii="Garamond" w:hAnsi="Garamond" w:cs="CentaurMTStd"/>
          <w:noProof/>
          <w:color w:val="000000"/>
          <w:lang w:eastAsia="zh-CN"/>
        </w:rPr>
        <w:t>Since Tracing began on August 10, 2020, the following chart provides a break down of tracing efforts.</w:t>
      </w:r>
    </w:p>
    <w:p w14:paraId="618B488A" w14:textId="77777777" w:rsidR="004C16E0" w:rsidRPr="000D42E2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highlight w:val="yellow"/>
          <w:lang w:eastAsia="zh-CN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403"/>
        <w:gridCol w:w="1297"/>
        <w:gridCol w:w="1260"/>
        <w:gridCol w:w="1260"/>
        <w:gridCol w:w="1323"/>
        <w:gridCol w:w="1197"/>
        <w:gridCol w:w="810"/>
      </w:tblGrid>
      <w:tr w:rsidR="004C16E0" w:rsidRPr="000D42E2" w14:paraId="0C76389A" w14:textId="77777777" w:rsidTr="005D09C6">
        <w:trPr>
          <w:trHeight w:val="1261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76AD357" w14:textId="77777777" w:rsidR="004C16E0" w:rsidRPr="000D42E2" w:rsidRDefault="004C16E0" w:rsidP="005D09C6">
            <w:pPr>
              <w:rPr>
                <w:rFonts w:ascii="Garamond" w:hAnsi="Garamond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183A7817" w14:textId="77777777" w:rsidR="004C16E0" w:rsidRPr="00063D52" w:rsidRDefault="004C16E0" w:rsidP="005D09C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063D52">
              <w:rPr>
                <w:rFonts w:ascii="Garamond" w:hAnsi="Garamond" w:cs="Calibri"/>
                <w:color w:val="000000"/>
                <w:sz w:val="22"/>
                <w:szCs w:val="22"/>
              </w:rPr>
              <w:t>Investigations Entered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161DC8C6" w14:textId="77777777" w:rsidR="004C16E0" w:rsidRPr="00063D52" w:rsidRDefault="004C16E0" w:rsidP="005D09C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063D52">
              <w:rPr>
                <w:rFonts w:ascii="Garamond" w:hAnsi="Garamond" w:cs="Calibri"/>
                <w:color w:val="000000"/>
                <w:sz w:val="22"/>
                <w:szCs w:val="22"/>
              </w:rPr>
              <w:t>Exposures Verbally Confirmed +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FAC132C" w14:textId="77777777" w:rsidR="004C16E0" w:rsidRPr="00063D52" w:rsidRDefault="004C16E0" w:rsidP="005D09C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063D52">
              <w:rPr>
                <w:rFonts w:ascii="Garamond" w:hAnsi="Garamond" w:cs="Calibri"/>
                <w:color w:val="000000"/>
                <w:sz w:val="22"/>
                <w:szCs w:val="22"/>
              </w:rPr>
              <w:t>Exposures Completed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7683E26" w14:textId="77777777" w:rsidR="004C16E0" w:rsidRPr="00063D52" w:rsidRDefault="004C16E0" w:rsidP="005D09C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063D52">
              <w:rPr>
                <w:rFonts w:ascii="Garamond" w:hAnsi="Garamond" w:cs="Calibri"/>
                <w:color w:val="000000"/>
                <w:sz w:val="22"/>
                <w:szCs w:val="22"/>
              </w:rPr>
              <w:t>Exposure Phase Out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5525165D" w14:textId="77777777" w:rsidR="004C16E0" w:rsidRPr="00063D52" w:rsidRDefault="004C16E0" w:rsidP="005D09C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063D52">
              <w:rPr>
                <w:rFonts w:ascii="Garamond" w:hAnsi="Garamond" w:cs="Calibri"/>
                <w:color w:val="000000"/>
                <w:sz w:val="22"/>
                <w:szCs w:val="22"/>
              </w:rPr>
              <w:t>Investigation Phase Out</w:t>
            </w:r>
          </w:p>
        </w:tc>
        <w:tc>
          <w:tcPr>
            <w:tcW w:w="1197" w:type="dxa"/>
          </w:tcPr>
          <w:p w14:paraId="0AD7D078" w14:textId="77777777" w:rsidR="004C16E0" w:rsidRPr="00063D52" w:rsidRDefault="004C16E0" w:rsidP="005D09C6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063D52">
              <w:rPr>
                <w:rFonts w:ascii="Garamond" w:hAnsi="Garamond" w:cs="Calibri"/>
                <w:color w:val="000000"/>
                <w:sz w:val="22"/>
                <w:szCs w:val="22"/>
              </w:rPr>
              <w:t>Exposed, but 2+ weeks past complete vaccination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465478A" w14:textId="77777777" w:rsidR="004C16E0" w:rsidRPr="00063D52" w:rsidRDefault="004C16E0" w:rsidP="005D09C6">
            <w:pPr>
              <w:jc w:val="right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063D52">
              <w:rPr>
                <w:rFonts w:ascii="Garamond" w:hAnsi="Garamond" w:cs="Calibri"/>
                <w:color w:val="000000"/>
                <w:sz w:val="22"/>
                <w:szCs w:val="22"/>
              </w:rPr>
              <w:t>Total</w:t>
            </w:r>
          </w:p>
        </w:tc>
      </w:tr>
      <w:tr w:rsidR="004C16E0" w:rsidRPr="007A3DCC" w14:paraId="79FB2951" w14:textId="77777777" w:rsidTr="005D09C6">
        <w:trPr>
          <w:trHeight w:val="315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E6619A7" w14:textId="77777777" w:rsidR="004C16E0" w:rsidRPr="004B7E4C" w:rsidRDefault="004C16E0" w:rsidP="005D09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7E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1DF2EDDE" w14:textId="119CAA70" w:rsidR="004C16E0" w:rsidRPr="004B7E4C" w:rsidRDefault="004C16E0" w:rsidP="005D09C6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4B7E4C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5,</w:t>
            </w:r>
            <w:r w:rsidR="004B7E4C" w:rsidRPr="004B7E4C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0B9C1B18" w14:textId="703F0A96" w:rsidR="004C16E0" w:rsidRPr="004B7E4C" w:rsidRDefault="004B7E4C" w:rsidP="005D09C6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4B7E4C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EC81918" w14:textId="67FEDEDF" w:rsidR="004C16E0" w:rsidRPr="004B7E4C" w:rsidRDefault="004B7E4C" w:rsidP="005D09C6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4B7E4C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1,650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D77A275" w14:textId="3A57F219" w:rsidR="004C16E0" w:rsidRPr="004B7E4C" w:rsidRDefault="004B7E4C" w:rsidP="005D09C6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4B7E4C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51A03C58" w14:textId="393C70DD" w:rsidR="004C16E0" w:rsidRPr="004B7E4C" w:rsidRDefault="004B7E4C" w:rsidP="005D09C6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4B7E4C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1,322</w:t>
            </w:r>
          </w:p>
        </w:tc>
        <w:tc>
          <w:tcPr>
            <w:tcW w:w="1197" w:type="dxa"/>
            <w:shd w:val="clear" w:color="auto" w:fill="auto"/>
          </w:tcPr>
          <w:p w14:paraId="0B37CDA5" w14:textId="5D54CCCC" w:rsidR="004C16E0" w:rsidRPr="004B7E4C" w:rsidRDefault="004B7E4C" w:rsidP="005D09C6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4B7E4C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6D8E5F7" w14:textId="53C0A951" w:rsidR="004C16E0" w:rsidRPr="004B7E4C" w:rsidRDefault="004B7E4C" w:rsidP="005D09C6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4B7E4C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10,525</w:t>
            </w:r>
          </w:p>
        </w:tc>
      </w:tr>
    </w:tbl>
    <w:p w14:paraId="336CFA8B" w14:textId="77777777" w:rsidR="004C16E0" w:rsidRPr="00C4281F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lang w:eastAsia="zh-CN"/>
        </w:rPr>
      </w:pPr>
    </w:p>
    <w:p w14:paraId="76D4728C" w14:textId="1A035024" w:rsidR="004C16E0" w:rsidRDefault="004B7E4C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lang w:eastAsia="zh-CN"/>
        </w:rPr>
      </w:pPr>
      <w:r w:rsidRPr="004B7E4C">
        <w:rPr>
          <w:rFonts w:ascii="Garamond" w:hAnsi="Garamond" w:cs="CentaurMTStd"/>
          <w:noProof/>
          <w:color w:val="000000"/>
          <w:lang w:eastAsia="zh-CN"/>
        </w:rPr>
        <w:t>Twelve</w:t>
      </w:r>
      <w:r w:rsidR="004C16E0" w:rsidRPr="004B7E4C">
        <w:rPr>
          <w:rFonts w:ascii="Garamond" w:hAnsi="Garamond" w:cs="CentaurMTStd"/>
          <w:noProof/>
          <w:color w:val="000000"/>
          <w:lang w:eastAsia="zh-CN"/>
        </w:rPr>
        <w:t xml:space="preserve"> (</w:t>
      </w:r>
      <w:r w:rsidRPr="004B7E4C">
        <w:rPr>
          <w:rFonts w:ascii="Garamond" w:hAnsi="Garamond" w:cs="CentaurMTStd"/>
          <w:noProof/>
          <w:color w:val="000000"/>
          <w:lang w:eastAsia="zh-CN"/>
        </w:rPr>
        <w:t>12</w:t>
      </w:r>
      <w:r w:rsidR="004C16E0" w:rsidRPr="004B7E4C">
        <w:rPr>
          <w:rFonts w:ascii="Garamond" w:hAnsi="Garamond" w:cs="CentaurMTStd"/>
          <w:noProof/>
          <w:color w:val="000000"/>
          <w:lang w:eastAsia="zh-CN"/>
        </w:rPr>
        <w:t xml:space="preserve">) cases were passed to Pitt County this week, while ECU received </w:t>
      </w:r>
      <w:r w:rsidRPr="004B7E4C">
        <w:rPr>
          <w:rFonts w:ascii="Garamond" w:hAnsi="Garamond" w:cs="CentaurMTStd"/>
          <w:noProof/>
          <w:color w:val="000000"/>
          <w:lang w:eastAsia="zh-CN"/>
        </w:rPr>
        <w:t>seven</w:t>
      </w:r>
      <w:r w:rsidR="008B68F2" w:rsidRPr="004B7E4C">
        <w:rPr>
          <w:rFonts w:ascii="Garamond" w:hAnsi="Garamond" w:cs="CentaurMTStd"/>
          <w:noProof/>
          <w:color w:val="000000"/>
          <w:lang w:eastAsia="zh-CN"/>
        </w:rPr>
        <w:t xml:space="preserve"> (</w:t>
      </w:r>
      <w:r w:rsidRPr="004B7E4C">
        <w:rPr>
          <w:rFonts w:ascii="Garamond" w:hAnsi="Garamond" w:cs="CentaurMTStd"/>
          <w:noProof/>
          <w:color w:val="000000"/>
          <w:lang w:eastAsia="zh-CN"/>
        </w:rPr>
        <w:t>7</w:t>
      </w:r>
      <w:r w:rsidR="008B68F2" w:rsidRPr="004B7E4C">
        <w:rPr>
          <w:rFonts w:ascii="Garamond" w:hAnsi="Garamond" w:cs="CentaurMTStd"/>
          <w:noProof/>
          <w:color w:val="000000"/>
          <w:lang w:eastAsia="zh-CN"/>
        </w:rPr>
        <w:t xml:space="preserve">) </w:t>
      </w:r>
      <w:r w:rsidR="004C16E0" w:rsidRPr="004B7E4C">
        <w:rPr>
          <w:rFonts w:ascii="Garamond" w:hAnsi="Garamond" w:cs="CentaurMTStd"/>
          <w:noProof/>
          <w:color w:val="000000"/>
          <w:lang w:eastAsia="zh-CN"/>
        </w:rPr>
        <w:t>name</w:t>
      </w:r>
      <w:r w:rsidR="003375B7" w:rsidRPr="004B7E4C">
        <w:rPr>
          <w:rFonts w:ascii="Garamond" w:hAnsi="Garamond" w:cs="CentaurMTStd"/>
          <w:noProof/>
          <w:color w:val="000000"/>
          <w:lang w:eastAsia="zh-CN"/>
        </w:rPr>
        <w:t>s</w:t>
      </w:r>
      <w:r w:rsidR="004C16E0" w:rsidRPr="003375B7">
        <w:rPr>
          <w:rFonts w:ascii="Garamond" w:hAnsi="Garamond" w:cs="CentaurMTStd"/>
          <w:noProof/>
          <w:color w:val="000000"/>
          <w:lang w:eastAsia="zh-CN"/>
        </w:rPr>
        <w:t xml:space="preserve"> from Pitt County.</w:t>
      </w:r>
    </w:p>
    <w:p w14:paraId="4F3B4CB6" w14:textId="77777777" w:rsidR="004C16E0" w:rsidRPr="00173C59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lang w:eastAsia="zh-CN"/>
        </w:rPr>
      </w:pPr>
    </w:p>
    <w:tbl>
      <w:tblPr>
        <w:tblStyle w:val="TableGrid"/>
        <w:tblW w:w="4855" w:type="dxa"/>
        <w:tblLayout w:type="fixed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4C16E0" w:rsidRPr="000D42E2" w14:paraId="7BE2763D" w14:textId="77777777" w:rsidTr="005D09C6">
        <w:trPr>
          <w:trHeight w:val="721"/>
        </w:trPr>
        <w:tc>
          <w:tcPr>
            <w:tcW w:w="1615" w:type="dxa"/>
            <w:shd w:val="clear" w:color="auto" w:fill="B2A1C7" w:themeFill="accent4" w:themeFillTint="99"/>
          </w:tcPr>
          <w:p w14:paraId="30FAB2AB" w14:textId="77777777" w:rsidR="004C16E0" w:rsidRPr="000D42E2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620" w:type="dxa"/>
            <w:shd w:val="clear" w:color="auto" w:fill="E5DFEC" w:themeFill="accent4" w:themeFillTint="33"/>
          </w:tcPr>
          <w:p w14:paraId="1CA507B7" w14:textId="77777777" w:rsidR="004C16E0" w:rsidRPr="00DA3C17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DA3C17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Cases passed from ECU to Pitt County</w:t>
            </w:r>
          </w:p>
        </w:tc>
        <w:tc>
          <w:tcPr>
            <w:tcW w:w="1620" w:type="dxa"/>
            <w:shd w:val="clear" w:color="auto" w:fill="E5DFEC" w:themeFill="accent4" w:themeFillTint="33"/>
          </w:tcPr>
          <w:p w14:paraId="0225B6CD" w14:textId="77777777" w:rsidR="004C16E0" w:rsidRPr="00DA3C17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DA3C17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Cases passed from Pitt County to ECU</w:t>
            </w:r>
          </w:p>
        </w:tc>
      </w:tr>
      <w:tr w:rsidR="004C16E0" w:rsidRPr="000D42E2" w14:paraId="58DB6D79" w14:textId="77777777" w:rsidTr="005D09C6">
        <w:tc>
          <w:tcPr>
            <w:tcW w:w="1615" w:type="dxa"/>
            <w:shd w:val="clear" w:color="auto" w:fill="B2A1C7" w:themeFill="accent4" w:themeFillTint="99"/>
          </w:tcPr>
          <w:p w14:paraId="39DF02F7" w14:textId="77777777" w:rsidR="004C16E0" w:rsidRPr="00DA3C17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DA3C17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Saturday</w:t>
            </w:r>
          </w:p>
        </w:tc>
        <w:tc>
          <w:tcPr>
            <w:tcW w:w="1620" w:type="dxa"/>
          </w:tcPr>
          <w:p w14:paraId="3B81916D" w14:textId="212C5FCB" w:rsidR="004C16E0" w:rsidRPr="00DA3C17" w:rsidRDefault="004B7E4C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620" w:type="dxa"/>
          </w:tcPr>
          <w:p w14:paraId="74B4D850" w14:textId="3E63C0A5" w:rsidR="004C16E0" w:rsidRPr="00DA3C17" w:rsidRDefault="004B7E4C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4C16E0" w:rsidRPr="000D42E2" w14:paraId="7427F8C7" w14:textId="77777777" w:rsidTr="005D09C6">
        <w:tc>
          <w:tcPr>
            <w:tcW w:w="1615" w:type="dxa"/>
            <w:shd w:val="clear" w:color="auto" w:fill="B2A1C7" w:themeFill="accent4" w:themeFillTint="99"/>
          </w:tcPr>
          <w:p w14:paraId="750390E6" w14:textId="77777777" w:rsidR="004C16E0" w:rsidRPr="00DA3C17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DA3C17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Sunday</w:t>
            </w:r>
          </w:p>
        </w:tc>
        <w:tc>
          <w:tcPr>
            <w:tcW w:w="1620" w:type="dxa"/>
          </w:tcPr>
          <w:p w14:paraId="24DAAE82" w14:textId="13E241E0" w:rsidR="004C16E0" w:rsidRPr="00DA3C17" w:rsidRDefault="004B7E4C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620" w:type="dxa"/>
          </w:tcPr>
          <w:p w14:paraId="74657AE1" w14:textId="6A05F03C" w:rsidR="004C16E0" w:rsidRPr="00DA3C17" w:rsidRDefault="004B7E4C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4C16E0" w:rsidRPr="000D42E2" w14:paraId="66A2C63F" w14:textId="77777777" w:rsidTr="005D09C6">
        <w:tc>
          <w:tcPr>
            <w:tcW w:w="1615" w:type="dxa"/>
            <w:shd w:val="clear" w:color="auto" w:fill="B2A1C7" w:themeFill="accent4" w:themeFillTint="99"/>
          </w:tcPr>
          <w:p w14:paraId="3C7FF1FD" w14:textId="77777777" w:rsidR="004C16E0" w:rsidRPr="00DA3C17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DA3C17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Monday</w:t>
            </w:r>
          </w:p>
        </w:tc>
        <w:tc>
          <w:tcPr>
            <w:tcW w:w="1620" w:type="dxa"/>
          </w:tcPr>
          <w:p w14:paraId="13734EF4" w14:textId="00DE210A" w:rsidR="004C16E0" w:rsidRPr="00DA3C17" w:rsidRDefault="004B7E4C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620" w:type="dxa"/>
          </w:tcPr>
          <w:p w14:paraId="49A8AA87" w14:textId="64A63E0B" w:rsidR="004C16E0" w:rsidRPr="00DA3C17" w:rsidRDefault="004B7E4C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1</w:t>
            </w:r>
          </w:p>
        </w:tc>
      </w:tr>
      <w:tr w:rsidR="004C16E0" w:rsidRPr="000D42E2" w14:paraId="2D7FE74A" w14:textId="77777777" w:rsidTr="005D09C6">
        <w:tc>
          <w:tcPr>
            <w:tcW w:w="1615" w:type="dxa"/>
            <w:shd w:val="clear" w:color="auto" w:fill="B2A1C7" w:themeFill="accent4" w:themeFillTint="99"/>
          </w:tcPr>
          <w:p w14:paraId="0D9C4A7D" w14:textId="77777777" w:rsidR="004C16E0" w:rsidRPr="00DA3C17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DA3C17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Tuesday</w:t>
            </w:r>
          </w:p>
        </w:tc>
        <w:tc>
          <w:tcPr>
            <w:tcW w:w="1620" w:type="dxa"/>
          </w:tcPr>
          <w:p w14:paraId="3FE24A98" w14:textId="58A71BCA" w:rsidR="004C16E0" w:rsidRPr="00DA3C17" w:rsidRDefault="004B7E4C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620" w:type="dxa"/>
          </w:tcPr>
          <w:p w14:paraId="675470FF" w14:textId="1DE1F9FD" w:rsidR="004C16E0" w:rsidRPr="00DA3C17" w:rsidRDefault="004B7E4C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1</w:t>
            </w:r>
          </w:p>
        </w:tc>
      </w:tr>
      <w:tr w:rsidR="004C16E0" w:rsidRPr="000D42E2" w14:paraId="51C55197" w14:textId="77777777" w:rsidTr="005D09C6">
        <w:tc>
          <w:tcPr>
            <w:tcW w:w="1615" w:type="dxa"/>
            <w:shd w:val="clear" w:color="auto" w:fill="B2A1C7" w:themeFill="accent4" w:themeFillTint="99"/>
          </w:tcPr>
          <w:p w14:paraId="1ED8D701" w14:textId="77777777" w:rsidR="004C16E0" w:rsidRPr="00DA3C17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DA3C17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Wednesday</w:t>
            </w:r>
          </w:p>
        </w:tc>
        <w:tc>
          <w:tcPr>
            <w:tcW w:w="1620" w:type="dxa"/>
          </w:tcPr>
          <w:p w14:paraId="7FBD0206" w14:textId="01401E14" w:rsidR="004C16E0" w:rsidRPr="00DA3C17" w:rsidRDefault="004B7E4C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620" w:type="dxa"/>
          </w:tcPr>
          <w:p w14:paraId="11039705" w14:textId="13CE9D77" w:rsidR="004C16E0" w:rsidRPr="00DA3C17" w:rsidRDefault="004B7E4C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4C16E0" w:rsidRPr="000D42E2" w14:paraId="5F6E6B2A" w14:textId="77777777" w:rsidTr="005D09C6">
        <w:tc>
          <w:tcPr>
            <w:tcW w:w="1615" w:type="dxa"/>
            <w:shd w:val="clear" w:color="auto" w:fill="B2A1C7" w:themeFill="accent4" w:themeFillTint="99"/>
          </w:tcPr>
          <w:p w14:paraId="19D7DF3B" w14:textId="77777777" w:rsidR="004C16E0" w:rsidRPr="00DA3C17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DA3C17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Thursday</w:t>
            </w:r>
          </w:p>
        </w:tc>
        <w:tc>
          <w:tcPr>
            <w:tcW w:w="1620" w:type="dxa"/>
          </w:tcPr>
          <w:p w14:paraId="099B97F4" w14:textId="787B9A8C" w:rsidR="004C16E0" w:rsidRPr="00DA3C17" w:rsidRDefault="004B7E4C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620" w:type="dxa"/>
          </w:tcPr>
          <w:p w14:paraId="312123FD" w14:textId="38E4DAAB" w:rsidR="004C16E0" w:rsidRPr="00DA3C17" w:rsidRDefault="004B7E4C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5</w:t>
            </w:r>
          </w:p>
        </w:tc>
      </w:tr>
      <w:tr w:rsidR="004C16E0" w:rsidRPr="000D42E2" w14:paraId="523AC8B2" w14:textId="77777777" w:rsidTr="003611F2">
        <w:trPr>
          <w:trHeight w:val="70"/>
        </w:trPr>
        <w:tc>
          <w:tcPr>
            <w:tcW w:w="1615" w:type="dxa"/>
            <w:shd w:val="clear" w:color="auto" w:fill="B2A1C7" w:themeFill="accent4" w:themeFillTint="99"/>
          </w:tcPr>
          <w:p w14:paraId="2A120453" w14:textId="77777777" w:rsidR="004C16E0" w:rsidRPr="00DA3C17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 w:rsidRPr="00DA3C17"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Friday</w:t>
            </w:r>
          </w:p>
        </w:tc>
        <w:tc>
          <w:tcPr>
            <w:tcW w:w="1620" w:type="dxa"/>
          </w:tcPr>
          <w:p w14:paraId="103CA45E" w14:textId="3EA5A046" w:rsidR="004C16E0" w:rsidRPr="00DA3C17" w:rsidRDefault="004B7E4C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620" w:type="dxa"/>
          </w:tcPr>
          <w:p w14:paraId="017A772E" w14:textId="73026236" w:rsidR="004C16E0" w:rsidRPr="00DA3C17" w:rsidRDefault="004B7E4C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noProof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4C16E0" w:rsidRPr="000D42E2" w14:paraId="33728A80" w14:textId="77777777" w:rsidTr="005D09C6">
        <w:tc>
          <w:tcPr>
            <w:tcW w:w="1615" w:type="dxa"/>
            <w:shd w:val="clear" w:color="auto" w:fill="auto"/>
          </w:tcPr>
          <w:p w14:paraId="34323C38" w14:textId="77777777" w:rsidR="004C16E0" w:rsidRPr="00DA3C17" w:rsidRDefault="004C16E0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b/>
                <w:bCs/>
                <w:noProof/>
                <w:color w:val="000000"/>
                <w:sz w:val="22"/>
                <w:szCs w:val="22"/>
                <w:lang w:eastAsia="zh-CN"/>
              </w:rPr>
            </w:pPr>
            <w:r w:rsidRPr="00DA3C17">
              <w:rPr>
                <w:rFonts w:ascii="Garamond" w:hAnsi="Garamond" w:cs="CentaurMTStd"/>
                <w:b/>
                <w:bCs/>
                <w:noProof/>
                <w:color w:val="000000"/>
                <w:sz w:val="22"/>
                <w:szCs w:val="22"/>
                <w:lang w:eastAsia="zh-CN"/>
              </w:rPr>
              <w:t>TOTAL:</w:t>
            </w:r>
          </w:p>
        </w:tc>
        <w:tc>
          <w:tcPr>
            <w:tcW w:w="1620" w:type="dxa"/>
          </w:tcPr>
          <w:p w14:paraId="063CF056" w14:textId="3F02E7D9" w:rsidR="004C16E0" w:rsidRPr="00DA3C17" w:rsidRDefault="004B7E4C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b/>
                <w:bCs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b/>
                <w:bCs/>
                <w:noProof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620" w:type="dxa"/>
          </w:tcPr>
          <w:p w14:paraId="6ADCCB5C" w14:textId="6D854ED7" w:rsidR="004C16E0" w:rsidRPr="00DA3C17" w:rsidRDefault="004B7E4C" w:rsidP="005D09C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" w:hAnsi="Garamond" w:cs="CentaurMTStd"/>
                <w:b/>
                <w:bCs/>
                <w:noProof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Garamond" w:hAnsi="Garamond" w:cs="CentaurMTStd"/>
                <w:b/>
                <w:bCs/>
                <w:noProof/>
                <w:color w:val="000000"/>
                <w:sz w:val="22"/>
                <w:szCs w:val="22"/>
                <w:lang w:eastAsia="zh-CN"/>
              </w:rPr>
              <w:t>7</w:t>
            </w:r>
          </w:p>
        </w:tc>
      </w:tr>
    </w:tbl>
    <w:p w14:paraId="4C381090" w14:textId="77777777" w:rsidR="004C16E0" w:rsidRPr="00256B43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highlight w:val="yellow"/>
          <w:lang w:eastAsia="zh-CN"/>
        </w:rPr>
      </w:pPr>
    </w:p>
    <w:p w14:paraId="1DE049C5" w14:textId="1063331F" w:rsidR="004C16E0" w:rsidRPr="00F10742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lang w:eastAsia="zh-CN"/>
        </w:rPr>
      </w:pPr>
      <w:r w:rsidRPr="00B02FBC">
        <w:rPr>
          <w:rFonts w:ascii="Garamond" w:hAnsi="Garamond" w:cs="CentaurMTStd"/>
          <w:noProof/>
          <w:color w:val="000000"/>
          <w:lang w:eastAsia="zh-CN"/>
        </w:rPr>
        <w:t xml:space="preserve">Contact tracing ended </w:t>
      </w:r>
      <w:r w:rsidRPr="00012206">
        <w:rPr>
          <w:rFonts w:ascii="Garamond" w:hAnsi="Garamond" w:cs="CentaurMTStd"/>
          <w:noProof/>
          <w:color w:val="000000"/>
          <w:lang w:eastAsia="zh-CN"/>
        </w:rPr>
        <w:t>at 1</w:t>
      </w:r>
      <w:r>
        <w:rPr>
          <w:rFonts w:ascii="Garamond" w:hAnsi="Garamond" w:cs="CentaurMTStd"/>
          <w:noProof/>
          <w:color w:val="000000"/>
          <w:lang w:eastAsia="zh-CN"/>
        </w:rPr>
        <w:t>50</w:t>
      </w:r>
      <w:r w:rsidRPr="00012206">
        <w:rPr>
          <w:rFonts w:ascii="Garamond" w:hAnsi="Garamond" w:cs="CentaurMTStd"/>
          <w:noProof/>
          <w:color w:val="000000"/>
          <w:lang w:eastAsia="zh-CN"/>
        </w:rPr>
        <w:t>0</w:t>
      </w:r>
      <w:r w:rsidRPr="00B02FBC">
        <w:rPr>
          <w:rFonts w:ascii="Garamond" w:hAnsi="Garamond" w:cs="CentaurMTStd"/>
          <w:noProof/>
          <w:color w:val="000000"/>
          <w:lang w:eastAsia="zh-CN"/>
        </w:rPr>
        <w:t xml:space="preserve"> on </w:t>
      </w:r>
      <w:r>
        <w:rPr>
          <w:rFonts w:ascii="Garamond" w:hAnsi="Garamond" w:cs="CentaurMTStd"/>
          <w:noProof/>
          <w:color w:val="000000"/>
          <w:lang w:eastAsia="zh-CN"/>
        </w:rPr>
        <w:t>0</w:t>
      </w:r>
      <w:r w:rsidR="003611F2">
        <w:rPr>
          <w:rFonts w:ascii="Garamond" w:hAnsi="Garamond" w:cs="CentaurMTStd"/>
          <w:noProof/>
          <w:color w:val="000000"/>
          <w:lang w:eastAsia="zh-CN"/>
        </w:rPr>
        <w:t>4</w:t>
      </w:r>
      <w:r w:rsidR="00177A96">
        <w:rPr>
          <w:rFonts w:ascii="Garamond" w:hAnsi="Garamond" w:cs="CentaurMTStd"/>
          <w:noProof/>
          <w:color w:val="000000"/>
          <w:lang w:eastAsia="zh-CN"/>
        </w:rPr>
        <w:t>14</w:t>
      </w:r>
      <w:r w:rsidRPr="00B02FBC">
        <w:rPr>
          <w:rFonts w:ascii="Garamond" w:hAnsi="Garamond" w:cs="CentaurMTStd"/>
          <w:noProof/>
          <w:color w:val="000000"/>
          <w:lang w:eastAsia="zh-CN"/>
        </w:rPr>
        <w:t xml:space="preserve">2022.  </w:t>
      </w:r>
      <w:r w:rsidR="00177A96">
        <w:rPr>
          <w:rFonts w:ascii="Garamond" w:hAnsi="Garamond" w:cs="CentaurMTStd"/>
          <w:noProof/>
          <w:color w:val="000000"/>
          <w:lang w:eastAsia="zh-CN"/>
        </w:rPr>
        <w:t>Friday tracing will not occur due to the holiday and w</w:t>
      </w:r>
      <w:r w:rsidRPr="00B02FBC">
        <w:rPr>
          <w:rFonts w:ascii="Garamond" w:hAnsi="Garamond" w:cs="CentaurMTStd"/>
          <w:noProof/>
          <w:color w:val="000000"/>
          <w:lang w:eastAsia="zh-CN"/>
        </w:rPr>
        <w:t>eekend</w:t>
      </w:r>
      <w:r>
        <w:rPr>
          <w:rFonts w:ascii="Garamond" w:hAnsi="Garamond" w:cs="CentaurMTStd"/>
          <w:noProof/>
          <w:color w:val="000000"/>
          <w:lang w:eastAsia="zh-CN"/>
        </w:rPr>
        <w:t xml:space="preserve"> tracing</w:t>
      </w:r>
      <w:r w:rsidRPr="00B02FBC">
        <w:rPr>
          <w:rFonts w:ascii="Garamond" w:hAnsi="Garamond" w:cs="CentaurMTStd"/>
          <w:noProof/>
          <w:color w:val="000000"/>
          <w:lang w:eastAsia="zh-CN"/>
        </w:rPr>
        <w:t xml:space="preserve"> </w:t>
      </w:r>
      <w:r>
        <w:rPr>
          <w:rFonts w:ascii="Garamond" w:hAnsi="Garamond" w:cs="CentaurMTStd"/>
          <w:noProof/>
          <w:color w:val="000000"/>
          <w:lang w:eastAsia="zh-CN"/>
        </w:rPr>
        <w:t xml:space="preserve">is not scheduled.  </w:t>
      </w:r>
      <w:r w:rsidR="00177A96">
        <w:rPr>
          <w:rFonts w:ascii="Garamond" w:hAnsi="Garamond" w:cs="CentaurMTStd"/>
          <w:noProof/>
          <w:color w:val="000000"/>
          <w:lang w:eastAsia="zh-CN"/>
        </w:rPr>
        <w:t>Due to graduations, next week five</w:t>
      </w:r>
      <w:r w:rsidRPr="002B55F8">
        <w:rPr>
          <w:rFonts w:ascii="Garamond" w:hAnsi="Garamond" w:cs="CentaurMTStd"/>
          <w:noProof/>
          <w:color w:val="000000"/>
          <w:lang w:eastAsia="zh-CN"/>
        </w:rPr>
        <w:t xml:space="preserve"> (</w:t>
      </w:r>
      <w:r w:rsidR="00177A96">
        <w:rPr>
          <w:rFonts w:ascii="Garamond" w:hAnsi="Garamond" w:cs="CentaurMTStd"/>
          <w:noProof/>
          <w:color w:val="000000"/>
          <w:lang w:eastAsia="zh-CN"/>
        </w:rPr>
        <w:t>5</w:t>
      </w:r>
      <w:r w:rsidRPr="002B55F8">
        <w:rPr>
          <w:rFonts w:ascii="Garamond" w:hAnsi="Garamond" w:cs="CentaurMTStd"/>
          <w:noProof/>
          <w:color w:val="000000"/>
          <w:lang w:eastAsia="zh-CN"/>
        </w:rPr>
        <w:t xml:space="preserve">) </w:t>
      </w:r>
      <w:r>
        <w:rPr>
          <w:rFonts w:ascii="Garamond" w:hAnsi="Garamond" w:cs="CentaurMTStd"/>
          <w:noProof/>
          <w:color w:val="000000"/>
          <w:lang w:eastAsia="zh-CN"/>
        </w:rPr>
        <w:t xml:space="preserve">full time, consistent </w:t>
      </w:r>
      <w:r w:rsidRPr="002B55F8">
        <w:rPr>
          <w:rFonts w:ascii="Garamond" w:hAnsi="Garamond" w:cs="CentaurMTStd"/>
          <w:noProof/>
          <w:color w:val="000000"/>
          <w:lang w:eastAsia="zh-CN"/>
        </w:rPr>
        <w:t>tracers</w:t>
      </w:r>
      <w:r w:rsidRPr="00B02FBC">
        <w:rPr>
          <w:rFonts w:ascii="Garamond" w:hAnsi="Garamond" w:cs="CentaurMTStd"/>
          <w:noProof/>
          <w:color w:val="000000"/>
          <w:lang w:eastAsia="zh-CN"/>
        </w:rPr>
        <w:t xml:space="preserve"> are scheduled for next week</w:t>
      </w:r>
      <w:r>
        <w:rPr>
          <w:rFonts w:ascii="Garamond" w:hAnsi="Garamond" w:cs="CentaurMTStd"/>
          <w:noProof/>
          <w:color w:val="000000"/>
          <w:lang w:eastAsia="zh-CN"/>
        </w:rPr>
        <w:t xml:space="preserve"> including </w:t>
      </w:r>
      <w:r w:rsidR="00177A96">
        <w:rPr>
          <w:rFonts w:ascii="Garamond" w:hAnsi="Garamond" w:cs="CentaurMTStd"/>
          <w:noProof/>
          <w:color w:val="000000"/>
          <w:lang w:eastAsia="zh-CN"/>
        </w:rPr>
        <w:t xml:space="preserve">three </w:t>
      </w:r>
      <w:r>
        <w:rPr>
          <w:rFonts w:ascii="Garamond" w:hAnsi="Garamond" w:cs="CentaurMTStd"/>
          <w:noProof/>
          <w:color w:val="000000"/>
          <w:lang w:eastAsia="zh-CN"/>
        </w:rPr>
        <w:t xml:space="preserve">interns, one CCTO tracer, and one contract staff.  </w:t>
      </w:r>
      <w:r w:rsidR="00177A96">
        <w:rPr>
          <w:rFonts w:ascii="Garamond" w:hAnsi="Garamond" w:cs="CentaurMTStd"/>
          <w:noProof/>
          <w:color w:val="000000"/>
          <w:lang w:eastAsia="zh-CN"/>
        </w:rPr>
        <w:t xml:space="preserve">All three interns will complete their hours next week reducing operations at the end of April to two (2) consistent tracers.  </w:t>
      </w:r>
    </w:p>
    <w:p w14:paraId="407ABBCB" w14:textId="77777777" w:rsidR="004C16E0" w:rsidRPr="00F10742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lang w:eastAsia="zh-CN"/>
        </w:rPr>
      </w:pPr>
    </w:p>
    <w:p w14:paraId="3F83418C" w14:textId="77777777" w:rsidR="004C16E0" w:rsidRPr="00F10742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lang w:eastAsia="zh-CN"/>
        </w:rPr>
      </w:pPr>
      <w:r w:rsidRPr="00F10742">
        <w:rPr>
          <w:rFonts w:ascii="Garamond" w:hAnsi="Garamond" w:cs="CentaurMTStd"/>
          <w:noProof/>
          <w:color w:val="000000"/>
          <w:lang w:eastAsia="zh-CN"/>
        </w:rPr>
        <w:t>Kelli Russell, MPH, RHEd</w:t>
      </w:r>
    </w:p>
    <w:p w14:paraId="297679CB" w14:textId="77777777" w:rsidR="004C16E0" w:rsidRPr="00F10742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lang w:eastAsia="zh-CN"/>
        </w:rPr>
      </w:pPr>
      <w:r w:rsidRPr="00F10742">
        <w:rPr>
          <w:rFonts w:ascii="Garamond" w:hAnsi="Garamond" w:cs="CentaurMTStd"/>
          <w:noProof/>
          <w:color w:val="000000"/>
          <w:lang w:eastAsia="zh-CN"/>
        </w:rPr>
        <w:lastRenderedPageBreak/>
        <w:t>COVID-19 Contact Tracing Coordinator</w:t>
      </w:r>
    </w:p>
    <w:p w14:paraId="412B23BB" w14:textId="77777777" w:rsidR="004C16E0" w:rsidRPr="00F10742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lang w:eastAsia="zh-CN"/>
        </w:rPr>
      </w:pPr>
      <w:r w:rsidRPr="00F10742">
        <w:rPr>
          <w:rFonts w:ascii="Garamond" w:hAnsi="Garamond" w:cs="CentaurMTStd"/>
          <w:noProof/>
          <w:color w:val="000000"/>
          <w:lang w:eastAsia="zh-CN"/>
        </w:rPr>
        <w:t>BS Public Health Program Director</w:t>
      </w:r>
    </w:p>
    <w:p w14:paraId="2F06A59C" w14:textId="77777777" w:rsidR="004C16E0" w:rsidRPr="00F10742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lang w:eastAsia="zh-CN"/>
        </w:rPr>
      </w:pPr>
      <w:r w:rsidRPr="00F10742">
        <w:rPr>
          <w:rFonts w:ascii="Garamond" w:hAnsi="Garamond" w:cs="CentaurMTStd"/>
          <w:noProof/>
          <w:color w:val="000000"/>
          <w:lang w:eastAsia="zh-CN"/>
        </w:rPr>
        <w:t>Department of Health Education &amp; Promotion</w:t>
      </w:r>
    </w:p>
    <w:p w14:paraId="2D0C21FF" w14:textId="77777777" w:rsidR="004C16E0" w:rsidRPr="00F10742" w:rsidRDefault="004C16E0" w:rsidP="004C16E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noProof/>
          <w:color w:val="000000"/>
          <w:lang w:eastAsia="zh-CN"/>
        </w:rPr>
      </w:pPr>
      <w:r w:rsidRPr="00F10742">
        <w:rPr>
          <w:rFonts w:ascii="Garamond" w:hAnsi="Garamond" w:cs="CentaurMTStd"/>
          <w:noProof/>
          <w:color w:val="000000"/>
          <w:lang w:eastAsia="zh-CN"/>
        </w:rPr>
        <w:t>2207 Carol Belk Building | Mail Stop 529</w:t>
      </w:r>
    </w:p>
    <w:p w14:paraId="7D52A4E3" w14:textId="458102B0" w:rsidR="004C16E0" w:rsidRDefault="004C16E0" w:rsidP="004C16E0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Garamond" w:hAnsi="Garamond" w:cs="CentaurMTStd"/>
          <w:noProof/>
          <w:color w:val="000000"/>
          <w:sz w:val="28"/>
          <w:szCs w:val="26"/>
          <w:lang w:eastAsia="zh-CN"/>
        </w:rPr>
      </w:pPr>
      <w:r w:rsidRPr="00F10742">
        <w:rPr>
          <w:rFonts w:ascii="Garamond" w:hAnsi="Garamond" w:cs="CentaurMTStd"/>
          <w:noProof/>
          <w:color w:val="000000"/>
          <w:lang w:eastAsia="zh-CN"/>
        </w:rPr>
        <w:t xml:space="preserve">Office:  252.328.5388 | </w:t>
      </w:r>
      <w:hyperlink r:id="rId7" w:history="1">
        <w:r w:rsidRPr="00F10742">
          <w:rPr>
            <w:rStyle w:val="Hyperlink"/>
            <w:rFonts w:ascii="Garamond" w:hAnsi="Garamond" w:cs="CentaurMTStd"/>
            <w:noProof/>
            <w:lang w:eastAsia="zh-CN"/>
          </w:rPr>
          <w:t>russellk14@ecu.edu</w:t>
        </w:r>
      </w:hyperlink>
    </w:p>
    <w:sectPr w:rsidR="004C16E0" w:rsidSect="00AF29DD">
      <w:pgSz w:w="12240" w:h="15840"/>
      <w:pgMar w:top="2707" w:right="3514" w:bottom="1080" w:left="10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aurMTStd">
    <w:altName w:val="Calibri"/>
    <w:charset w:val="00"/>
    <w:family w:val="auto"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045C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32E5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8547F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D0891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6BC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8DA95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AA2D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A212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488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73E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52A8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89"/>
    <w:rsid w:val="0001131F"/>
    <w:rsid w:val="00037980"/>
    <w:rsid w:val="00064687"/>
    <w:rsid w:val="00065359"/>
    <w:rsid w:val="00075BF1"/>
    <w:rsid w:val="00085853"/>
    <w:rsid w:val="00095289"/>
    <w:rsid w:val="000C5584"/>
    <w:rsid w:val="000E7D7B"/>
    <w:rsid w:val="000F5067"/>
    <w:rsid w:val="00105670"/>
    <w:rsid w:val="001108D7"/>
    <w:rsid w:val="00152B5D"/>
    <w:rsid w:val="001622EA"/>
    <w:rsid w:val="00166B02"/>
    <w:rsid w:val="00176B69"/>
    <w:rsid w:val="00177A96"/>
    <w:rsid w:val="0018040C"/>
    <w:rsid w:val="001A69AA"/>
    <w:rsid w:val="001C0E3B"/>
    <w:rsid w:val="001C144C"/>
    <w:rsid w:val="001F7EC4"/>
    <w:rsid w:val="00226376"/>
    <w:rsid w:val="00273796"/>
    <w:rsid w:val="002833E2"/>
    <w:rsid w:val="002A489A"/>
    <w:rsid w:val="002A6FF5"/>
    <w:rsid w:val="002B1FA9"/>
    <w:rsid w:val="002D0F7E"/>
    <w:rsid w:val="002E1516"/>
    <w:rsid w:val="002F5BCB"/>
    <w:rsid w:val="003012C1"/>
    <w:rsid w:val="00303E67"/>
    <w:rsid w:val="00335921"/>
    <w:rsid w:val="003375B7"/>
    <w:rsid w:val="003611F2"/>
    <w:rsid w:val="00374F1C"/>
    <w:rsid w:val="003A0702"/>
    <w:rsid w:val="003A6155"/>
    <w:rsid w:val="003B7434"/>
    <w:rsid w:val="003E00C8"/>
    <w:rsid w:val="004927DF"/>
    <w:rsid w:val="00495989"/>
    <w:rsid w:val="004A6939"/>
    <w:rsid w:val="004A728B"/>
    <w:rsid w:val="004B7E4C"/>
    <w:rsid w:val="004C16E0"/>
    <w:rsid w:val="004E271A"/>
    <w:rsid w:val="00523F87"/>
    <w:rsid w:val="005242CD"/>
    <w:rsid w:val="00524FF4"/>
    <w:rsid w:val="005332E3"/>
    <w:rsid w:val="005732DC"/>
    <w:rsid w:val="00577F58"/>
    <w:rsid w:val="005A14E1"/>
    <w:rsid w:val="005A49F0"/>
    <w:rsid w:val="005A4F58"/>
    <w:rsid w:val="005B4D3B"/>
    <w:rsid w:val="005C5877"/>
    <w:rsid w:val="00614C3C"/>
    <w:rsid w:val="00616FE9"/>
    <w:rsid w:val="006364A2"/>
    <w:rsid w:val="006638FC"/>
    <w:rsid w:val="006F6E50"/>
    <w:rsid w:val="00701C8D"/>
    <w:rsid w:val="00703BB4"/>
    <w:rsid w:val="00716F39"/>
    <w:rsid w:val="00722AEE"/>
    <w:rsid w:val="007409DA"/>
    <w:rsid w:val="00743417"/>
    <w:rsid w:val="007644B5"/>
    <w:rsid w:val="007E4567"/>
    <w:rsid w:val="007E5AEA"/>
    <w:rsid w:val="007F64C3"/>
    <w:rsid w:val="008130C4"/>
    <w:rsid w:val="00831520"/>
    <w:rsid w:val="008328CD"/>
    <w:rsid w:val="008667CC"/>
    <w:rsid w:val="00866839"/>
    <w:rsid w:val="00874E39"/>
    <w:rsid w:val="008B68F2"/>
    <w:rsid w:val="008C2FD3"/>
    <w:rsid w:val="008C77FE"/>
    <w:rsid w:val="008F3168"/>
    <w:rsid w:val="00902799"/>
    <w:rsid w:val="00911BB3"/>
    <w:rsid w:val="00936D59"/>
    <w:rsid w:val="00950A96"/>
    <w:rsid w:val="00953A7F"/>
    <w:rsid w:val="00963795"/>
    <w:rsid w:val="009A11A3"/>
    <w:rsid w:val="009A43D1"/>
    <w:rsid w:val="009B775D"/>
    <w:rsid w:val="009C3B1E"/>
    <w:rsid w:val="009C781E"/>
    <w:rsid w:val="009E1658"/>
    <w:rsid w:val="00A103A6"/>
    <w:rsid w:val="00A131BD"/>
    <w:rsid w:val="00A156B8"/>
    <w:rsid w:val="00A26FC5"/>
    <w:rsid w:val="00A630D8"/>
    <w:rsid w:val="00AB5129"/>
    <w:rsid w:val="00AB60C7"/>
    <w:rsid w:val="00AC2197"/>
    <w:rsid w:val="00AF205C"/>
    <w:rsid w:val="00AF29DD"/>
    <w:rsid w:val="00B0642C"/>
    <w:rsid w:val="00B105C1"/>
    <w:rsid w:val="00B61927"/>
    <w:rsid w:val="00B62D4B"/>
    <w:rsid w:val="00B750CF"/>
    <w:rsid w:val="00B753A2"/>
    <w:rsid w:val="00B856D7"/>
    <w:rsid w:val="00BA2710"/>
    <w:rsid w:val="00BA3FDD"/>
    <w:rsid w:val="00BD65D7"/>
    <w:rsid w:val="00C059F8"/>
    <w:rsid w:val="00C379FA"/>
    <w:rsid w:val="00C40F89"/>
    <w:rsid w:val="00C459A0"/>
    <w:rsid w:val="00C54360"/>
    <w:rsid w:val="00C6363B"/>
    <w:rsid w:val="00C6748C"/>
    <w:rsid w:val="00C8330D"/>
    <w:rsid w:val="00C965C3"/>
    <w:rsid w:val="00CB0B64"/>
    <w:rsid w:val="00CB698F"/>
    <w:rsid w:val="00CC44E3"/>
    <w:rsid w:val="00CF0AA1"/>
    <w:rsid w:val="00D25306"/>
    <w:rsid w:val="00D37EF5"/>
    <w:rsid w:val="00D42223"/>
    <w:rsid w:val="00D57FF9"/>
    <w:rsid w:val="00D655EE"/>
    <w:rsid w:val="00D738B8"/>
    <w:rsid w:val="00D93A8F"/>
    <w:rsid w:val="00DA1113"/>
    <w:rsid w:val="00DA4CF5"/>
    <w:rsid w:val="00DF5AE8"/>
    <w:rsid w:val="00E01AB3"/>
    <w:rsid w:val="00E15410"/>
    <w:rsid w:val="00E35F77"/>
    <w:rsid w:val="00E42911"/>
    <w:rsid w:val="00E447E9"/>
    <w:rsid w:val="00E74D72"/>
    <w:rsid w:val="00E84C7B"/>
    <w:rsid w:val="00EA3711"/>
    <w:rsid w:val="00EA5A1D"/>
    <w:rsid w:val="00EC00F2"/>
    <w:rsid w:val="00EE2A80"/>
    <w:rsid w:val="00EE77DB"/>
    <w:rsid w:val="00F006A1"/>
    <w:rsid w:val="00F077E6"/>
    <w:rsid w:val="00F20C42"/>
    <w:rsid w:val="00F306E8"/>
    <w:rsid w:val="00F34F08"/>
    <w:rsid w:val="00F4121C"/>
    <w:rsid w:val="00F41D91"/>
    <w:rsid w:val="00F42F67"/>
    <w:rsid w:val="00F46C58"/>
    <w:rsid w:val="00F56DE5"/>
    <w:rsid w:val="00F63C0A"/>
    <w:rsid w:val="00F91808"/>
    <w:rsid w:val="00FD5ED5"/>
    <w:rsid w:val="00FE1573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E47564"/>
  <w14:defaultImageDpi w14:val="300"/>
  <w15:docId w15:val="{936E68BF-12F6-4A54-9464-ECDDEA5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F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867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F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F6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4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ssellk14@ec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ellk14\Desktop\Student%20Health%20Services%20electronic%20letterhead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ussellk14\Desktop\Tracing%2021-22\SITREPS\Closed%20Cas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Cases Closed As of 04142022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Sheet1!$C$150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val>
            <c:numRef>
              <c:f>Sheet1!$C$151:$C$238</c:f>
              <c:numCache>
                <c:formatCode>General</c:formatCode>
                <c:ptCount val="88"/>
                <c:pt idx="0">
                  <c:v>6</c:v>
                </c:pt>
                <c:pt idx="1">
                  <c:v>112</c:v>
                </c:pt>
                <c:pt idx="2">
                  <c:v>301</c:v>
                </c:pt>
                <c:pt idx="3">
                  <c:v>505</c:v>
                </c:pt>
                <c:pt idx="4">
                  <c:v>414</c:v>
                </c:pt>
                <c:pt idx="5">
                  <c:v>160</c:v>
                </c:pt>
                <c:pt idx="6">
                  <c:v>42</c:v>
                </c:pt>
                <c:pt idx="7">
                  <c:v>88</c:v>
                </c:pt>
                <c:pt idx="8">
                  <c:v>75</c:v>
                </c:pt>
                <c:pt idx="9">
                  <c:v>84</c:v>
                </c:pt>
                <c:pt idx="10">
                  <c:v>37</c:v>
                </c:pt>
                <c:pt idx="11">
                  <c:v>34</c:v>
                </c:pt>
                <c:pt idx="12">
                  <c:v>31</c:v>
                </c:pt>
                <c:pt idx="13">
                  <c:v>62</c:v>
                </c:pt>
                <c:pt idx="14">
                  <c:v>67</c:v>
                </c:pt>
                <c:pt idx="15">
                  <c:v>25</c:v>
                </c:pt>
                <c:pt idx="16">
                  <c:v>39</c:v>
                </c:pt>
                <c:pt idx="17">
                  <c:v>76</c:v>
                </c:pt>
                <c:pt idx="18">
                  <c:v>56</c:v>
                </c:pt>
                <c:pt idx="19">
                  <c:v>44</c:v>
                </c:pt>
                <c:pt idx="20">
                  <c:v>28</c:v>
                </c:pt>
                <c:pt idx="21">
                  <c:v>66</c:v>
                </c:pt>
                <c:pt idx="22">
                  <c:v>113</c:v>
                </c:pt>
                <c:pt idx="23">
                  <c:v>152</c:v>
                </c:pt>
                <c:pt idx="24">
                  <c:v>190</c:v>
                </c:pt>
                <c:pt idx="25">
                  <c:v>120</c:v>
                </c:pt>
                <c:pt idx="26">
                  <c:v>98</c:v>
                </c:pt>
                <c:pt idx="27">
                  <c:v>97</c:v>
                </c:pt>
                <c:pt idx="28">
                  <c:v>67</c:v>
                </c:pt>
                <c:pt idx="29">
                  <c:v>55</c:v>
                </c:pt>
                <c:pt idx="30">
                  <c:v>35</c:v>
                </c:pt>
                <c:pt idx="31">
                  <c:v>43</c:v>
                </c:pt>
                <c:pt idx="32">
                  <c:v>51</c:v>
                </c:pt>
                <c:pt idx="33">
                  <c:v>119</c:v>
                </c:pt>
                <c:pt idx="34">
                  <c:v>115</c:v>
                </c:pt>
                <c:pt idx="35">
                  <c:v>79</c:v>
                </c:pt>
                <c:pt idx="36">
                  <c:v>49</c:v>
                </c:pt>
                <c:pt idx="37">
                  <c:v>54</c:v>
                </c:pt>
                <c:pt idx="38">
                  <c:v>52</c:v>
                </c:pt>
                <c:pt idx="39">
                  <c:v>19</c:v>
                </c:pt>
                <c:pt idx="40">
                  <c:v>16</c:v>
                </c:pt>
                <c:pt idx="41">
                  <c:v>9</c:v>
                </c:pt>
                <c:pt idx="42">
                  <c:v>5</c:v>
                </c:pt>
                <c:pt idx="43">
                  <c:v>3</c:v>
                </c:pt>
                <c:pt idx="44">
                  <c:v>2</c:v>
                </c:pt>
                <c:pt idx="45">
                  <c:v>3</c:v>
                </c:pt>
                <c:pt idx="46">
                  <c:v>0</c:v>
                </c:pt>
                <c:pt idx="47">
                  <c:v>1</c:v>
                </c:pt>
                <c:pt idx="48">
                  <c:v>1</c:v>
                </c:pt>
                <c:pt idx="49">
                  <c:v>15</c:v>
                </c:pt>
                <c:pt idx="50">
                  <c:v>10</c:v>
                </c:pt>
                <c:pt idx="51">
                  <c:v>32</c:v>
                </c:pt>
                <c:pt idx="52">
                  <c:v>52</c:v>
                </c:pt>
                <c:pt idx="53">
                  <c:v>77</c:v>
                </c:pt>
                <c:pt idx="54">
                  <c:v>221</c:v>
                </c:pt>
                <c:pt idx="55">
                  <c:v>413</c:v>
                </c:pt>
                <c:pt idx="56">
                  <c:v>373</c:v>
                </c:pt>
                <c:pt idx="57">
                  <c:v>453</c:v>
                </c:pt>
                <c:pt idx="58">
                  <c:v>332</c:v>
                </c:pt>
                <c:pt idx="59">
                  <c:v>162</c:v>
                </c:pt>
                <c:pt idx="60">
                  <c:v>109</c:v>
                </c:pt>
                <c:pt idx="61">
                  <c:v>54</c:v>
                </c:pt>
                <c:pt idx="62">
                  <c:v>41</c:v>
                </c:pt>
                <c:pt idx="63">
                  <c:v>13</c:v>
                </c:pt>
                <c:pt idx="64">
                  <c:v>47</c:v>
                </c:pt>
                <c:pt idx="65">
                  <c:v>20</c:v>
                </c:pt>
                <c:pt idx="66">
                  <c:v>24</c:v>
                </c:pt>
                <c:pt idx="67">
                  <c:v>5</c:v>
                </c:pt>
                <c:pt idx="68">
                  <c:v>46</c:v>
                </c:pt>
                <c:pt idx="69">
                  <c:v>51</c:v>
                </c:pt>
                <c:pt idx="70">
                  <c:v>68</c:v>
                </c:pt>
                <c:pt idx="71">
                  <c:v>20</c:v>
                </c:pt>
                <c:pt idx="72">
                  <c:v>70</c:v>
                </c:pt>
                <c:pt idx="73">
                  <c:v>192</c:v>
                </c:pt>
                <c:pt idx="74">
                  <c:v>427</c:v>
                </c:pt>
                <c:pt idx="75">
                  <c:v>711</c:v>
                </c:pt>
                <c:pt idx="76">
                  <c:v>1143</c:v>
                </c:pt>
                <c:pt idx="77">
                  <c:v>539</c:v>
                </c:pt>
                <c:pt idx="78">
                  <c:v>509</c:v>
                </c:pt>
                <c:pt idx="79">
                  <c:v>109</c:v>
                </c:pt>
                <c:pt idx="80">
                  <c:v>70</c:v>
                </c:pt>
                <c:pt idx="81">
                  <c:v>32</c:v>
                </c:pt>
                <c:pt idx="82">
                  <c:v>13</c:v>
                </c:pt>
                <c:pt idx="83">
                  <c:v>6</c:v>
                </c:pt>
                <c:pt idx="84">
                  <c:v>51</c:v>
                </c:pt>
                <c:pt idx="85">
                  <c:v>32</c:v>
                </c:pt>
                <c:pt idx="86">
                  <c:v>27</c:v>
                </c:pt>
                <c:pt idx="87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267-4FD7-A3EA-85F2817CB54A}"/>
            </c:ext>
          </c:extLst>
        </c:ser>
        <c:ser>
          <c:idx val="2"/>
          <c:order val="1"/>
          <c:tx>
            <c:strRef>
              <c:f>Sheet1!$D$150</c:f>
              <c:strCache>
                <c:ptCount val="1"/>
                <c:pt idx="0">
                  <c:v>Investigations Completed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val>
            <c:numRef>
              <c:f>Sheet1!$D$151:$D$238</c:f>
              <c:numCache>
                <c:formatCode>General</c:formatCode>
                <c:ptCount val="88"/>
                <c:pt idx="0">
                  <c:v>6</c:v>
                </c:pt>
                <c:pt idx="1">
                  <c:v>25</c:v>
                </c:pt>
                <c:pt idx="2">
                  <c:v>172</c:v>
                </c:pt>
                <c:pt idx="3">
                  <c:v>257</c:v>
                </c:pt>
                <c:pt idx="4">
                  <c:v>162</c:v>
                </c:pt>
                <c:pt idx="5">
                  <c:v>37</c:v>
                </c:pt>
                <c:pt idx="6">
                  <c:v>17</c:v>
                </c:pt>
                <c:pt idx="7">
                  <c:v>48</c:v>
                </c:pt>
                <c:pt idx="8">
                  <c:v>33</c:v>
                </c:pt>
                <c:pt idx="9">
                  <c:v>19</c:v>
                </c:pt>
                <c:pt idx="10">
                  <c:v>18</c:v>
                </c:pt>
                <c:pt idx="11">
                  <c:v>11</c:v>
                </c:pt>
                <c:pt idx="12">
                  <c:v>14</c:v>
                </c:pt>
                <c:pt idx="13">
                  <c:v>24</c:v>
                </c:pt>
                <c:pt idx="14">
                  <c:v>25</c:v>
                </c:pt>
                <c:pt idx="15">
                  <c:v>14</c:v>
                </c:pt>
                <c:pt idx="16">
                  <c:v>20</c:v>
                </c:pt>
                <c:pt idx="17">
                  <c:v>52</c:v>
                </c:pt>
                <c:pt idx="18">
                  <c:v>32</c:v>
                </c:pt>
                <c:pt idx="19">
                  <c:v>28</c:v>
                </c:pt>
                <c:pt idx="20">
                  <c:v>12</c:v>
                </c:pt>
                <c:pt idx="21">
                  <c:v>51</c:v>
                </c:pt>
                <c:pt idx="22">
                  <c:v>70</c:v>
                </c:pt>
                <c:pt idx="23">
                  <c:v>89</c:v>
                </c:pt>
                <c:pt idx="24">
                  <c:v>103</c:v>
                </c:pt>
                <c:pt idx="25">
                  <c:v>75</c:v>
                </c:pt>
                <c:pt idx="26">
                  <c:v>55</c:v>
                </c:pt>
                <c:pt idx="27">
                  <c:v>47</c:v>
                </c:pt>
                <c:pt idx="28">
                  <c:v>36</c:v>
                </c:pt>
                <c:pt idx="29">
                  <c:v>36</c:v>
                </c:pt>
                <c:pt idx="30">
                  <c:v>27</c:v>
                </c:pt>
                <c:pt idx="31">
                  <c:v>25</c:v>
                </c:pt>
                <c:pt idx="32">
                  <c:v>30</c:v>
                </c:pt>
                <c:pt idx="33">
                  <c:v>59</c:v>
                </c:pt>
                <c:pt idx="34">
                  <c:v>58</c:v>
                </c:pt>
                <c:pt idx="35">
                  <c:v>40</c:v>
                </c:pt>
                <c:pt idx="36">
                  <c:v>22</c:v>
                </c:pt>
                <c:pt idx="37">
                  <c:v>26</c:v>
                </c:pt>
                <c:pt idx="38">
                  <c:v>27</c:v>
                </c:pt>
                <c:pt idx="39">
                  <c:v>12</c:v>
                </c:pt>
                <c:pt idx="40">
                  <c:v>12</c:v>
                </c:pt>
                <c:pt idx="41">
                  <c:v>4</c:v>
                </c:pt>
                <c:pt idx="42">
                  <c:v>4</c:v>
                </c:pt>
                <c:pt idx="43">
                  <c:v>2</c:v>
                </c:pt>
                <c:pt idx="44">
                  <c:v>1</c:v>
                </c:pt>
                <c:pt idx="45">
                  <c:v>1</c:v>
                </c:pt>
                <c:pt idx="46">
                  <c:v>0</c:v>
                </c:pt>
                <c:pt idx="47">
                  <c:v>1</c:v>
                </c:pt>
                <c:pt idx="48">
                  <c:v>1</c:v>
                </c:pt>
                <c:pt idx="49">
                  <c:v>10</c:v>
                </c:pt>
                <c:pt idx="50">
                  <c:v>9</c:v>
                </c:pt>
                <c:pt idx="51">
                  <c:v>18</c:v>
                </c:pt>
                <c:pt idx="52">
                  <c:v>39</c:v>
                </c:pt>
                <c:pt idx="53">
                  <c:v>52</c:v>
                </c:pt>
                <c:pt idx="54">
                  <c:v>141</c:v>
                </c:pt>
                <c:pt idx="55">
                  <c:v>190</c:v>
                </c:pt>
                <c:pt idx="56">
                  <c:v>218</c:v>
                </c:pt>
                <c:pt idx="57">
                  <c:v>235</c:v>
                </c:pt>
                <c:pt idx="58">
                  <c:v>142</c:v>
                </c:pt>
                <c:pt idx="59">
                  <c:v>77</c:v>
                </c:pt>
                <c:pt idx="60">
                  <c:v>49</c:v>
                </c:pt>
                <c:pt idx="61">
                  <c:v>25</c:v>
                </c:pt>
                <c:pt idx="62">
                  <c:v>18</c:v>
                </c:pt>
                <c:pt idx="63">
                  <c:v>9</c:v>
                </c:pt>
                <c:pt idx="64">
                  <c:v>19</c:v>
                </c:pt>
                <c:pt idx="65">
                  <c:v>8</c:v>
                </c:pt>
                <c:pt idx="66">
                  <c:v>15</c:v>
                </c:pt>
                <c:pt idx="67">
                  <c:v>4</c:v>
                </c:pt>
                <c:pt idx="68">
                  <c:v>29</c:v>
                </c:pt>
                <c:pt idx="69">
                  <c:v>29</c:v>
                </c:pt>
                <c:pt idx="70">
                  <c:v>31</c:v>
                </c:pt>
                <c:pt idx="71">
                  <c:v>16</c:v>
                </c:pt>
                <c:pt idx="72">
                  <c:v>40</c:v>
                </c:pt>
                <c:pt idx="73">
                  <c:v>154</c:v>
                </c:pt>
                <c:pt idx="74">
                  <c:v>235</c:v>
                </c:pt>
                <c:pt idx="75">
                  <c:v>576</c:v>
                </c:pt>
                <c:pt idx="76">
                  <c:v>537</c:v>
                </c:pt>
                <c:pt idx="77">
                  <c:v>193</c:v>
                </c:pt>
                <c:pt idx="78">
                  <c:v>95</c:v>
                </c:pt>
                <c:pt idx="79">
                  <c:v>52</c:v>
                </c:pt>
                <c:pt idx="80">
                  <c:v>39</c:v>
                </c:pt>
                <c:pt idx="81">
                  <c:v>15</c:v>
                </c:pt>
                <c:pt idx="82">
                  <c:v>5</c:v>
                </c:pt>
                <c:pt idx="83">
                  <c:v>6</c:v>
                </c:pt>
                <c:pt idx="84">
                  <c:v>10</c:v>
                </c:pt>
                <c:pt idx="85">
                  <c:v>8</c:v>
                </c:pt>
                <c:pt idx="86">
                  <c:v>7</c:v>
                </c:pt>
                <c:pt idx="87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267-4FD7-A3EA-85F2817CB54A}"/>
            </c:ext>
          </c:extLst>
        </c:ser>
        <c:ser>
          <c:idx val="3"/>
          <c:order val="2"/>
          <c:tx>
            <c:strRef>
              <c:f>Sheet1!$E$150</c:f>
              <c:strCache>
                <c:ptCount val="1"/>
                <c:pt idx="0">
                  <c:v>Exposures Completed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Sheet1!$E$151:$E$238</c:f>
              <c:numCache>
                <c:formatCode>General</c:formatCode>
                <c:ptCount val="88"/>
                <c:pt idx="0">
                  <c:v>0</c:v>
                </c:pt>
                <c:pt idx="1">
                  <c:v>87</c:v>
                </c:pt>
                <c:pt idx="2">
                  <c:v>104</c:v>
                </c:pt>
                <c:pt idx="3">
                  <c:v>106</c:v>
                </c:pt>
                <c:pt idx="4">
                  <c:v>80</c:v>
                </c:pt>
                <c:pt idx="5">
                  <c:v>20</c:v>
                </c:pt>
                <c:pt idx="6">
                  <c:v>13</c:v>
                </c:pt>
                <c:pt idx="7">
                  <c:v>18</c:v>
                </c:pt>
                <c:pt idx="8">
                  <c:v>23</c:v>
                </c:pt>
                <c:pt idx="9">
                  <c:v>30</c:v>
                </c:pt>
                <c:pt idx="10">
                  <c:v>13</c:v>
                </c:pt>
                <c:pt idx="11">
                  <c:v>12</c:v>
                </c:pt>
                <c:pt idx="12">
                  <c:v>11</c:v>
                </c:pt>
                <c:pt idx="13">
                  <c:v>26</c:v>
                </c:pt>
                <c:pt idx="14">
                  <c:v>28</c:v>
                </c:pt>
                <c:pt idx="15">
                  <c:v>6</c:v>
                </c:pt>
                <c:pt idx="16">
                  <c:v>14</c:v>
                </c:pt>
                <c:pt idx="17">
                  <c:v>19</c:v>
                </c:pt>
                <c:pt idx="18">
                  <c:v>19</c:v>
                </c:pt>
                <c:pt idx="19">
                  <c:v>10</c:v>
                </c:pt>
                <c:pt idx="20">
                  <c:v>10</c:v>
                </c:pt>
                <c:pt idx="21">
                  <c:v>11</c:v>
                </c:pt>
                <c:pt idx="22">
                  <c:v>40</c:v>
                </c:pt>
                <c:pt idx="23">
                  <c:v>57</c:v>
                </c:pt>
                <c:pt idx="24">
                  <c:v>67</c:v>
                </c:pt>
                <c:pt idx="25">
                  <c:v>32</c:v>
                </c:pt>
                <c:pt idx="26">
                  <c:v>28</c:v>
                </c:pt>
                <c:pt idx="27">
                  <c:v>38</c:v>
                </c:pt>
                <c:pt idx="28">
                  <c:v>20</c:v>
                </c:pt>
                <c:pt idx="29">
                  <c:v>9</c:v>
                </c:pt>
                <c:pt idx="30">
                  <c:v>5</c:v>
                </c:pt>
                <c:pt idx="31">
                  <c:v>11</c:v>
                </c:pt>
                <c:pt idx="32">
                  <c:v>18</c:v>
                </c:pt>
                <c:pt idx="33">
                  <c:v>41</c:v>
                </c:pt>
                <c:pt idx="34">
                  <c:v>33</c:v>
                </c:pt>
                <c:pt idx="35">
                  <c:v>32</c:v>
                </c:pt>
                <c:pt idx="36">
                  <c:v>16</c:v>
                </c:pt>
                <c:pt idx="37">
                  <c:v>7</c:v>
                </c:pt>
                <c:pt idx="38">
                  <c:v>12</c:v>
                </c:pt>
                <c:pt idx="39">
                  <c:v>0</c:v>
                </c:pt>
                <c:pt idx="40">
                  <c:v>0</c:v>
                </c:pt>
                <c:pt idx="41">
                  <c:v>2</c:v>
                </c:pt>
                <c:pt idx="42">
                  <c:v>1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3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9</c:v>
                </c:pt>
                <c:pt idx="54">
                  <c:v>68</c:v>
                </c:pt>
                <c:pt idx="55">
                  <c:v>130</c:v>
                </c:pt>
                <c:pt idx="56">
                  <c:v>98</c:v>
                </c:pt>
                <c:pt idx="57">
                  <c:v>123</c:v>
                </c:pt>
                <c:pt idx="58">
                  <c:v>116</c:v>
                </c:pt>
                <c:pt idx="59">
                  <c:v>59</c:v>
                </c:pt>
                <c:pt idx="60">
                  <c:v>48</c:v>
                </c:pt>
                <c:pt idx="61">
                  <c:v>17</c:v>
                </c:pt>
                <c:pt idx="62">
                  <c:v>13</c:v>
                </c:pt>
                <c:pt idx="63">
                  <c:v>2</c:v>
                </c:pt>
                <c:pt idx="64">
                  <c:v>24</c:v>
                </c:pt>
                <c:pt idx="65">
                  <c:v>8</c:v>
                </c:pt>
                <c:pt idx="66">
                  <c:v>4</c:v>
                </c:pt>
                <c:pt idx="67">
                  <c:v>1</c:v>
                </c:pt>
                <c:pt idx="68">
                  <c:v>17</c:v>
                </c:pt>
                <c:pt idx="69">
                  <c:v>18</c:v>
                </c:pt>
                <c:pt idx="70">
                  <c:v>26</c:v>
                </c:pt>
                <c:pt idx="71">
                  <c:v>3</c:v>
                </c:pt>
                <c:pt idx="72">
                  <c:v>21</c:v>
                </c:pt>
                <c:pt idx="73">
                  <c:v>39</c:v>
                </c:pt>
                <c:pt idx="74">
                  <c:v>155</c:v>
                </c:pt>
                <c:pt idx="75">
                  <c:v>89</c:v>
                </c:pt>
                <c:pt idx="76">
                  <c:v>81</c:v>
                </c:pt>
                <c:pt idx="77">
                  <c:v>82</c:v>
                </c:pt>
                <c:pt idx="78">
                  <c:v>40</c:v>
                </c:pt>
                <c:pt idx="79">
                  <c:v>16</c:v>
                </c:pt>
                <c:pt idx="80">
                  <c:v>7</c:v>
                </c:pt>
                <c:pt idx="81">
                  <c:v>4</c:v>
                </c:pt>
                <c:pt idx="82">
                  <c:v>2</c:v>
                </c:pt>
                <c:pt idx="83">
                  <c:v>0</c:v>
                </c:pt>
                <c:pt idx="84">
                  <c:v>23</c:v>
                </c:pt>
                <c:pt idx="85">
                  <c:v>11</c:v>
                </c:pt>
                <c:pt idx="86">
                  <c:v>16</c:v>
                </c:pt>
                <c:pt idx="87">
                  <c:v>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267-4FD7-A3EA-85F2817CB5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7940400"/>
        <c:axId val="477942696"/>
      </c:lineChart>
      <c:catAx>
        <c:axId val="4779404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7942696"/>
        <c:crosses val="autoZero"/>
        <c:auto val="1"/>
        <c:lblAlgn val="ctr"/>
        <c:lblOffset val="100"/>
        <c:noMultiLvlLbl val="0"/>
      </c:catAx>
      <c:valAx>
        <c:axId val="477942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794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Health Services electronic letterhead</Template>
  <TotalTime>16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Links>
    <vt:vector size="6" baseType="variant">
      <vt:variant>
        <vt:i4>458769</vt:i4>
      </vt:variant>
      <vt:variant>
        <vt:i4>-1</vt:i4>
      </vt:variant>
      <vt:variant>
        <vt:i4>1027</vt:i4>
      </vt:variant>
      <vt:variant>
        <vt:i4>1</vt:i4>
      </vt:variant>
      <vt:variant>
        <vt:lpwstr>test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Kelli</dc:creator>
  <cp:keywords/>
  <cp:lastModifiedBy>Russell, Kelli</cp:lastModifiedBy>
  <cp:revision>4</cp:revision>
  <cp:lastPrinted>2020-09-25T20:25:00Z</cp:lastPrinted>
  <dcterms:created xsi:type="dcterms:W3CDTF">2022-04-14T14:46:00Z</dcterms:created>
  <dcterms:modified xsi:type="dcterms:W3CDTF">2022-04-14T20:17:00Z</dcterms:modified>
</cp:coreProperties>
</file>